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9494" w:type="dxa"/>
        <w:jc w:val="left"/>
        <w:tblInd w:w="-40" w:type="dxa"/>
        <w:tblLayout w:type="fixed"/>
        <w:tblCellMar>
          <w:top w:w="0" w:type="dxa"/>
          <w:left w:w="6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9494"/>
      </w:tblGrid>
      <w:tr>
        <w:trPr>
          <w:trHeight w:val="841" w:hRule="atLeast"/>
        </w:trPr>
        <w:tc>
          <w:tcPr>
            <w:tcW w:w="9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left" w:pos="5529" w:leader="none"/>
              </w:tabs>
              <w:spacing w:before="0" w:after="0"/>
              <w:ind w:hanging="0" w:right="-78"/>
              <w:rPr/>
            </w:pPr>
            <w:r>
              <w:rPr>
                <w:rFonts w:cs="Arial" w:ascii="Arial" w:hAnsi="Arial"/>
                <w:b/>
              </w:rPr>
              <w:t xml:space="preserve">EMITER                                                                                                   </w:t>
            </w:r>
            <w:r>
              <w:rPr/>
              <w:drawing>
                <wp:inline distT="0" distB="0" distL="0" distR="0">
                  <wp:extent cx="1057275" cy="341630"/>
                  <wp:effectExtent l="0" t="0" r="0" b="0"/>
                  <wp:docPr id="1" name="Obraz 14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4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3416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Normal"/>
        <w:ind w:hanging="0"/>
        <w:rPr>
          <w:rFonts w:ascii="Arial" w:hAnsi="Arial" w:cs="Arial"/>
          <w:b/>
          <w:i/>
          <w:i/>
        </w:rPr>
      </w:pPr>
      <w:r>
        <w:rPr>
          <w:rFonts w:cs="Arial" w:ascii="Arial" w:hAnsi="Arial"/>
          <w:b/>
          <w:i/>
        </w:rPr>
      </w:r>
    </w:p>
    <w:p>
      <w:pPr>
        <w:pStyle w:val="Normal"/>
        <w:ind w:hanging="0"/>
        <w:rPr>
          <w:rFonts w:ascii="Arial" w:hAnsi="Arial" w:cs="Arial"/>
          <w:b/>
          <w:i/>
          <w:i/>
        </w:rPr>
      </w:pPr>
      <w:r>
        <w:rPr>
          <w:rFonts w:cs="Arial" w:ascii="Arial" w:hAnsi="Arial"/>
          <w:b/>
          <w:i/>
        </w:rPr>
      </w:r>
    </w:p>
    <w:p>
      <w:pPr>
        <w:pStyle w:val="Normal"/>
        <w:jc w:val="center"/>
        <w:rPr/>
      </w:pPr>
      <w:r>
        <w:rPr>
          <w:rFonts w:cs="Arial" w:ascii="Arial" w:hAnsi="Arial"/>
          <w:b/>
          <w:i/>
          <w:sz w:val="32"/>
          <w:szCs w:val="32"/>
        </w:rPr>
        <w:t xml:space="preserve">Prefabrykowana stacja transformatorowa </w:t>
      </w:r>
    </w:p>
    <w:p>
      <w:pPr>
        <w:pStyle w:val="Normal"/>
        <w:spacing w:lineRule="auto" w:line="360"/>
        <w:jc w:val="center"/>
        <w:rPr/>
      </w:pPr>
      <w:r>
        <w:rPr>
          <w:rFonts w:cs="Arial" w:ascii="Arial" w:hAnsi="Arial"/>
          <w:b/>
          <w:i/>
          <w:sz w:val="32"/>
          <w:szCs w:val="32"/>
        </w:rPr>
        <w:t xml:space="preserve">typu: </w:t>
      </w:r>
      <w:r>
        <w:rPr>
          <w:rFonts w:cs="Arial" w:ascii="Arial" w:hAnsi="Arial"/>
          <w:b/>
          <w:sz w:val="32"/>
          <w:szCs w:val="32"/>
        </w:rPr>
        <w:t xml:space="preserve">ETSI 25-48 1000 kVA </w:t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sz w:val="32"/>
          <w:szCs w:val="32"/>
        </w:rPr>
      </w:pPr>
      <w:r>
        <w:rPr>
          <w:rFonts w:cs="Arial" w:ascii="Arial" w:hAnsi="Arial"/>
          <w:b/>
          <w:sz w:val="32"/>
          <w:szCs w:val="32"/>
        </w:rPr>
      </w:r>
    </w:p>
    <w:p>
      <w:pPr>
        <w:pStyle w:val="Normal"/>
        <w:spacing w:lineRule="auto" w:line="288"/>
        <w:jc w:val="center"/>
        <w:rPr/>
      </w:pPr>
      <w:r>
        <w:rPr>
          <w:rFonts w:cs="Arial" w:ascii="Arial" w:hAnsi="Arial"/>
          <w:b/>
          <w:i/>
          <w:sz w:val="36"/>
          <w:szCs w:val="36"/>
        </w:rPr>
        <w:t>PROJEKT DO ADAPTACJI</w:t>
      </w:r>
    </w:p>
    <w:tbl>
      <w:tblPr>
        <w:tblW w:w="9524" w:type="dxa"/>
        <w:jc w:val="left"/>
        <w:tblInd w:w="68" w:type="dxa"/>
        <w:tblLayout w:type="fixed"/>
        <w:tblCellMar>
          <w:top w:w="0" w:type="dxa"/>
          <w:left w:w="6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1728"/>
        <w:gridCol w:w="824"/>
        <w:gridCol w:w="2078"/>
        <w:gridCol w:w="1418"/>
        <w:gridCol w:w="3475"/>
      </w:tblGrid>
      <w:tr>
        <w:trPr>
          <w:trHeight w:val="1021" w:hRule="exact"/>
        </w:trPr>
        <w:tc>
          <w:tcPr>
            <w:tcW w:w="255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312" w:before="60" w:after="120"/>
              <w:ind w:hanging="0"/>
              <w:rPr/>
            </w:pPr>
            <w:r>
              <w:rPr>
                <w:rFonts w:cs="Arial" w:ascii="Arial" w:hAnsi="Arial"/>
              </w:rPr>
              <w:t>Obiekt:</w:t>
            </w:r>
          </w:p>
        </w:tc>
        <w:tc>
          <w:tcPr>
            <w:tcW w:w="697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360" w:before="120" w:after="120"/>
              <w:ind w:hanging="0"/>
              <w:rPr/>
            </w:pPr>
            <w:r>
              <w:rPr>
                <w:rFonts w:cs="Arial" w:ascii="Arial" w:hAnsi="Arial"/>
              </w:rPr>
              <w:t xml:space="preserve">Stacja transformatorowa: </w:t>
            </w:r>
            <w:r>
              <w:rPr>
                <w:rFonts w:cs="Arial" w:ascii="Arial" w:hAnsi="Arial"/>
                <w:b/>
                <w:i/>
                <w:sz w:val="22"/>
              </w:rPr>
              <w:t>ETSI 25-48 1000 kVA</w:t>
            </w:r>
          </w:p>
        </w:tc>
      </w:tr>
      <w:tr>
        <w:trPr>
          <w:trHeight w:val="1394" w:hRule="exact"/>
        </w:trPr>
        <w:tc>
          <w:tcPr>
            <w:tcW w:w="255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hanging="0"/>
              <w:rPr/>
            </w:pPr>
            <w:r>
              <w:rPr>
                <w:rFonts w:cs="Arial" w:ascii="Arial" w:hAnsi="Arial"/>
              </w:rPr>
              <w:t>Adres obiektu/</w:t>
            </w:r>
          </w:p>
          <w:p>
            <w:pPr>
              <w:pStyle w:val="Normal"/>
              <w:spacing w:lineRule="auto" w:line="240" w:before="0" w:after="0"/>
              <w:ind w:hanging="0"/>
              <w:rPr/>
            </w:pPr>
            <w:r>
              <w:rPr>
                <w:rFonts w:cs="Arial" w:ascii="Arial" w:hAnsi="Arial"/>
              </w:rPr>
              <w:t>Inwestor :</w:t>
            </w:r>
          </w:p>
        </w:tc>
        <w:tc>
          <w:tcPr>
            <w:tcW w:w="697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64" w:before="40" w:after="120"/>
              <w:ind w:hanging="0"/>
              <w:rPr/>
            </w:pPr>
            <w:r>
              <w:rPr/>
              <w:t>……………</w:t>
            </w:r>
            <w:r>
              <w:rPr/>
              <w:t>..</w:t>
            </w:r>
          </w:p>
          <w:p>
            <w:pPr>
              <w:pStyle w:val="Normal"/>
              <w:spacing w:lineRule="auto" w:line="264" w:before="40" w:after="120"/>
              <w:ind w:hanging="0"/>
              <w:rPr>
                <w:highlight w:val="yellow"/>
              </w:rPr>
            </w:pPr>
            <w:r>
              <w:rPr>
                <w:highlight w:val="yellow"/>
              </w:rPr>
            </w:r>
          </w:p>
          <w:p>
            <w:pPr>
              <w:pStyle w:val="Normal"/>
              <w:spacing w:lineRule="auto" w:line="264" w:before="40" w:after="120"/>
              <w:ind w:hanging="0"/>
              <w:rPr>
                <w:highlight w:val="yellow"/>
              </w:rPr>
            </w:pPr>
            <w:r>
              <w:rPr>
                <w:highlight w:val="yellow"/>
              </w:rPr>
            </w:r>
          </w:p>
          <w:p>
            <w:pPr>
              <w:pStyle w:val="Normal"/>
              <w:spacing w:lineRule="auto" w:line="264" w:before="40" w:after="120"/>
              <w:rPr>
                <w:rFonts w:ascii="Arial" w:hAnsi="Arial" w:cs="Arial"/>
                <w:b/>
                <w:i/>
                <w:i/>
              </w:rPr>
            </w:pPr>
            <w:r>
              <w:rPr>
                <w:rFonts w:cs="Arial" w:ascii="Arial" w:hAnsi="Arial"/>
                <w:b/>
                <w:i/>
              </w:rPr>
            </w:r>
          </w:p>
          <w:p>
            <w:pPr>
              <w:pStyle w:val="Normal"/>
              <w:spacing w:lineRule="auto" w:line="264" w:before="4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>
          <w:trHeight w:val="676" w:hRule="exact"/>
        </w:trPr>
        <w:tc>
          <w:tcPr>
            <w:tcW w:w="255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360" w:before="120" w:after="120"/>
              <w:ind w:hanging="0"/>
              <w:rPr/>
            </w:pPr>
            <w:r>
              <w:rPr>
                <w:rFonts w:cs="Arial" w:ascii="Arial" w:hAnsi="Arial"/>
              </w:rPr>
              <w:t>Nr ew. działki</w:t>
            </w:r>
          </w:p>
        </w:tc>
        <w:tc>
          <w:tcPr>
            <w:tcW w:w="697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64" w:before="40" w:after="120"/>
              <w:ind w:hanging="0"/>
              <w:rPr/>
            </w:pPr>
            <w:r>
              <w:rPr/>
              <w:t>dz. Nr.:</w:t>
            </w:r>
          </w:p>
        </w:tc>
      </w:tr>
      <w:tr>
        <w:trPr>
          <w:trHeight w:val="676" w:hRule="exact"/>
        </w:trPr>
        <w:tc>
          <w:tcPr>
            <w:tcW w:w="9523" w:type="dxa"/>
            <w:gridSpan w:val="5"/>
            <w:tcBorders>
              <w:top w:val="single" w:sz="4" w:space="0" w:color="00000A"/>
              <w:bottom w:val="single" w:sz="4" w:space="0" w:color="00000A"/>
            </w:tcBorders>
            <w:shd w:color="auto" w:fill="auto" w:val="clear"/>
            <w:tcMar>
              <w:top w:w="55" w:type="dxa"/>
              <w:left w:w="83" w:type="dxa"/>
              <w:bottom w:w="55" w:type="dxa"/>
            </w:tcMar>
          </w:tcPr>
          <w:p>
            <w:pPr>
              <w:pStyle w:val="Normal"/>
              <w:spacing w:lineRule="auto" w:line="264" w:before="40" w:after="120"/>
              <w:ind w:hanging="0"/>
              <w:rPr>
                <w:highlight w:val="yellow"/>
              </w:rPr>
            </w:pPr>
            <w:r>
              <w:rPr>
                <w:highlight w:val="yellow"/>
              </w:rPr>
            </w:r>
          </w:p>
          <w:p>
            <w:pPr>
              <w:pStyle w:val="Normal"/>
              <w:spacing w:lineRule="auto" w:line="264" w:before="40" w:after="120"/>
              <w:ind w:hanging="0"/>
              <w:rPr>
                <w:highlight w:val="yellow"/>
              </w:rPr>
            </w:pPr>
            <w:r>
              <w:rPr>
                <w:highlight w:val="yellow"/>
              </w:rPr>
            </w:r>
          </w:p>
          <w:p>
            <w:pPr>
              <w:pStyle w:val="Normal"/>
              <w:spacing w:lineRule="auto" w:line="264" w:before="40" w:after="120"/>
              <w:ind w:hanging="0"/>
              <w:rPr>
                <w:highlight w:val="yellow"/>
              </w:rPr>
            </w:pPr>
            <w:r>
              <w:rPr>
                <w:highlight w:val="yellow"/>
              </w:rPr>
            </w:r>
          </w:p>
          <w:p>
            <w:pPr>
              <w:pStyle w:val="Normal"/>
              <w:spacing w:lineRule="auto" w:line="264" w:before="40" w:after="120"/>
              <w:ind w:hanging="0"/>
              <w:rPr>
                <w:highlight w:val="yellow"/>
              </w:rPr>
            </w:pPr>
            <w:r>
              <w:rPr>
                <w:highlight w:val="yellow"/>
              </w:rPr>
            </w:r>
          </w:p>
        </w:tc>
      </w:tr>
      <w:tr>
        <w:trPr>
          <w:trHeight w:val="454" w:hRule="exact"/>
        </w:trPr>
        <w:tc>
          <w:tcPr>
            <w:tcW w:w="9523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 w:right="-79"/>
              <w:jc w:val="center"/>
              <w:rPr/>
            </w:pPr>
            <w:r>
              <w:rPr>
                <w:rFonts w:cs="Arial" w:ascii="Arial" w:hAnsi="Arial"/>
              </w:rPr>
              <w:t>Opracował</w:t>
            </w:r>
          </w:p>
        </w:tc>
      </w:tr>
      <w:tr>
        <w:trPr>
          <w:trHeight w:val="454" w:hRule="exact"/>
        </w:trPr>
        <w:tc>
          <w:tcPr>
            <w:tcW w:w="1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rPr/>
            </w:pPr>
            <w:r>
              <w:rPr>
                <w:rFonts w:cs="Arial" w:ascii="Arial" w:hAnsi="Arial"/>
                <w:b/>
              </w:rPr>
              <w:t xml:space="preserve">      </w:t>
            </w:r>
            <w:r>
              <w:rPr>
                <w:rFonts w:cs="Arial" w:ascii="Arial" w:hAnsi="Arial"/>
                <w:b/>
              </w:rPr>
              <w:t>Branża</w:t>
            </w:r>
          </w:p>
        </w:tc>
        <w:tc>
          <w:tcPr>
            <w:tcW w:w="290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jc w:val="left"/>
              <w:rPr/>
            </w:pPr>
            <w:r>
              <w:rPr>
                <w:rFonts w:cs="Arial" w:ascii="Arial" w:hAnsi="Arial"/>
                <w:b/>
              </w:rPr>
              <w:t xml:space="preserve">        </w:t>
            </w:r>
            <w:r>
              <w:rPr>
                <w:rFonts w:cs="Arial" w:ascii="Arial" w:hAnsi="Arial"/>
                <w:b/>
              </w:rPr>
              <w:t>Imię i Nazwisko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jc w:val="left"/>
              <w:rPr/>
            </w:pPr>
            <w:r>
              <w:rPr>
                <w:rFonts w:cs="Arial" w:ascii="Arial" w:hAnsi="Arial"/>
                <w:b/>
              </w:rPr>
              <w:t xml:space="preserve">     </w:t>
            </w:r>
            <w:r>
              <w:rPr>
                <w:rFonts w:cs="Arial" w:ascii="Arial" w:hAnsi="Arial"/>
                <w:b/>
              </w:rPr>
              <w:t>Data</w:t>
            </w:r>
          </w:p>
        </w:tc>
        <w:tc>
          <w:tcPr>
            <w:tcW w:w="34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jc w:val="left"/>
              <w:rPr/>
            </w:pPr>
            <w:r>
              <w:rPr/>
            </w:r>
          </w:p>
        </w:tc>
      </w:tr>
      <w:tr>
        <w:trPr>
          <w:trHeight w:val="566" w:hRule="exact"/>
        </w:trPr>
        <w:tc>
          <w:tcPr>
            <w:tcW w:w="1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 w:before="120" w:after="120"/>
              <w:ind w:hanging="0"/>
              <w:rPr/>
            </w:pPr>
            <w:r>
              <w:rPr>
                <w:rFonts w:cs="Arial" w:ascii="Arial" w:hAnsi="Arial"/>
              </w:rPr>
              <w:t>Elektryczna:</w:t>
            </w:r>
          </w:p>
        </w:tc>
        <w:tc>
          <w:tcPr>
            <w:tcW w:w="290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 w:before="120" w:after="12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 w:before="120" w:after="12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34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snapToGrid w:val="false"/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</w:tbl>
    <w:p>
      <w:pPr>
        <w:pStyle w:val="Normal"/>
        <w:spacing w:lineRule="auto" w:line="360"/>
        <w:ind w:hanging="0"/>
        <w:rPr>
          <w:rFonts w:ascii="Arial" w:hAnsi="Arial" w:cs="Arial"/>
          <w:sz w:val="22"/>
        </w:rPr>
      </w:pPr>
      <w:r>
        <w:rPr>
          <w:rFonts w:cs="Arial" w:ascii="Arial" w:hAnsi="Arial"/>
          <w:sz w:val="22"/>
        </w:rPr>
      </w:r>
    </w:p>
    <w:p>
      <w:pPr>
        <w:pStyle w:val="Normal"/>
        <w:spacing w:lineRule="auto" w:line="360"/>
        <w:ind w:hanging="0"/>
        <w:rPr>
          <w:rFonts w:ascii="Arial" w:hAnsi="Arial" w:cs="Arial"/>
          <w:sz w:val="22"/>
        </w:rPr>
      </w:pPr>
      <w:r>
        <w:rPr>
          <w:rFonts w:cs="Arial" w:ascii="Arial" w:hAnsi="Arial"/>
          <w:sz w:val="22"/>
        </w:rPr>
      </w:r>
    </w:p>
    <w:tbl>
      <w:tblPr>
        <w:tblW w:w="9524" w:type="dxa"/>
        <w:jc w:val="left"/>
        <w:tblInd w:w="69" w:type="dxa"/>
        <w:tblLayout w:type="fixed"/>
        <w:tblCellMar>
          <w:top w:w="0" w:type="dxa"/>
          <w:left w:w="63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1725"/>
        <w:gridCol w:w="2904"/>
        <w:gridCol w:w="1418"/>
        <w:gridCol w:w="3476"/>
      </w:tblGrid>
      <w:tr>
        <w:trPr>
          <w:trHeight w:val="454" w:hRule="exact"/>
        </w:trPr>
        <w:tc>
          <w:tcPr>
            <w:tcW w:w="952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jc w:val="center"/>
              <w:rPr/>
            </w:pPr>
            <w:r>
              <w:rPr>
                <w:rFonts w:cs="Arial" w:ascii="Arial" w:hAnsi="Arial"/>
              </w:rPr>
              <w:t>Autorzy projektu / adaptacji</w:t>
            </w:r>
          </w:p>
        </w:tc>
      </w:tr>
      <w:tr>
        <w:trPr>
          <w:trHeight w:val="454" w:hRule="exact"/>
        </w:trPr>
        <w:tc>
          <w:tcPr>
            <w:tcW w:w="1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rPr/>
            </w:pPr>
            <w:r>
              <w:rPr>
                <w:rFonts w:cs="Arial" w:ascii="Arial" w:hAnsi="Arial"/>
                <w:b/>
              </w:rPr>
              <w:t xml:space="preserve">      </w:t>
            </w:r>
            <w:r>
              <w:rPr>
                <w:rFonts w:cs="Arial" w:ascii="Arial" w:hAnsi="Arial"/>
                <w:b/>
              </w:rPr>
              <w:t>Branża</w:t>
            </w:r>
          </w:p>
        </w:tc>
        <w:tc>
          <w:tcPr>
            <w:tcW w:w="29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jc w:val="left"/>
              <w:rPr/>
            </w:pPr>
            <w:r>
              <w:rPr>
                <w:rFonts w:cs="Arial" w:ascii="Arial" w:hAnsi="Arial"/>
                <w:b/>
              </w:rPr>
              <w:t xml:space="preserve">        </w:t>
            </w:r>
            <w:r>
              <w:rPr>
                <w:rFonts w:cs="Arial" w:ascii="Arial" w:hAnsi="Arial"/>
                <w:b/>
              </w:rPr>
              <w:t>Imię i Nazwisko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jc w:val="left"/>
              <w:rPr/>
            </w:pPr>
            <w:r>
              <w:rPr>
                <w:rFonts w:cs="Arial" w:ascii="Arial" w:hAnsi="Arial"/>
                <w:b/>
              </w:rPr>
              <w:t xml:space="preserve">     </w:t>
            </w:r>
            <w:r>
              <w:rPr>
                <w:rFonts w:cs="Arial" w:ascii="Arial" w:hAnsi="Arial"/>
                <w:b/>
              </w:rPr>
              <w:t>Data</w:t>
            </w:r>
          </w:p>
        </w:tc>
        <w:tc>
          <w:tcPr>
            <w:tcW w:w="34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jc w:val="left"/>
              <w:rPr/>
            </w:pPr>
            <w:r>
              <w:rPr>
                <w:rFonts w:cs="Arial" w:ascii="Arial" w:hAnsi="Arial"/>
                <w:b/>
              </w:rPr>
              <w:t xml:space="preserve">       </w:t>
            </w:r>
            <w:r>
              <w:rPr>
                <w:rFonts w:cs="Arial" w:ascii="Arial" w:hAnsi="Arial"/>
                <w:b/>
              </w:rPr>
              <w:t>Nr uprawnień, podpis</w:t>
            </w:r>
          </w:p>
        </w:tc>
      </w:tr>
      <w:tr>
        <w:trPr>
          <w:trHeight w:val="566" w:hRule="exact"/>
        </w:trPr>
        <w:tc>
          <w:tcPr>
            <w:tcW w:w="1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 w:before="120" w:after="120"/>
              <w:ind w:hanging="0"/>
              <w:rPr/>
            </w:pPr>
            <w:r>
              <w:rPr>
                <w:rFonts w:cs="Arial" w:ascii="Arial" w:hAnsi="Arial"/>
              </w:rPr>
              <w:t>Budowlana:</w:t>
            </w:r>
          </w:p>
        </w:tc>
        <w:tc>
          <w:tcPr>
            <w:tcW w:w="29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 w:before="120" w:after="12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 w:before="120" w:after="12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34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snapToGrid w:val="false"/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</w:tbl>
    <w:p>
      <w:pPr>
        <w:pStyle w:val="Normal"/>
        <w:spacing w:lineRule="auto" w:line="360"/>
        <w:ind w:hanging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360"/>
        <w:ind w:hanging="0"/>
        <w:rPr>
          <w:b/>
        </w:rPr>
      </w:pPr>
      <w:r>
        <w:rPr>
          <w:b/>
        </w:rPr>
      </w:r>
    </w:p>
    <w:p>
      <w:pPr>
        <w:pStyle w:val="Normal"/>
        <w:spacing w:lineRule="auto" w:line="360"/>
        <w:ind w:hanging="0"/>
        <w:rPr>
          <w:b/>
        </w:rPr>
      </w:pPr>
      <w:r>
        <w:rPr>
          <w:b/>
        </w:rPr>
      </w:r>
    </w:p>
    <w:p>
      <w:pPr>
        <w:pStyle w:val="Normal"/>
        <w:spacing w:lineRule="auto" w:line="360"/>
        <w:ind w:hanging="0"/>
        <w:rPr>
          <w:b/>
        </w:rPr>
      </w:pPr>
      <w:r>
        <w:rPr>
          <w:b/>
        </w:rPr>
      </w:r>
    </w:p>
    <w:tbl>
      <w:tblPr>
        <w:tblW w:w="9494" w:type="dxa"/>
        <w:jc w:val="left"/>
        <w:tblInd w:w="-40" w:type="dxa"/>
        <w:tblLayout w:type="fixed"/>
        <w:tblCellMar>
          <w:top w:w="0" w:type="dxa"/>
          <w:left w:w="6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9494"/>
      </w:tblGrid>
      <w:tr>
        <w:trPr/>
        <w:tc>
          <w:tcPr>
            <w:tcW w:w="9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360" w:before="120" w:after="120"/>
              <w:rPr/>
            </w:pPr>
            <w:r>
              <w:rPr>
                <w:rFonts w:cs="Arial" w:ascii="Arial" w:hAnsi="Arial"/>
              </w:rPr>
              <w:t>Uwagi:</w:t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 w:before="120" w:after="120"/>
              <w:ind w:hanging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</w:tbl>
    <w:p>
      <w:pPr>
        <w:pStyle w:val="Normal"/>
        <w:spacing w:lineRule="auto" w:line="360"/>
        <w:ind w:hanging="0"/>
        <w:rPr/>
      </w:pPr>
      <w:r>
        <w:rPr/>
      </w:r>
    </w:p>
    <w:p>
      <w:pPr>
        <w:pStyle w:val="Normal"/>
        <w:spacing w:lineRule="auto" w:line="360"/>
        <w:ind w:hanging="0"/>
        <w:rPr/>
      </w:pPr>
      <w:r>
        <w:rPr/>
      </w:r>
    </w:p>
    <w:p>
      <w:pPr>
        <w:sectPr>
          <w:headerReference w:type="even" r:id="rId3"/>
          <w:headerReference w:type="default" r:id="rId4"/>
          <w:headerReference w:type="first" r:id="rId5"/>
          <w:footerReference w:type="even" r:id="rId6"/>
          <w:footerReference w:type="default" r:id="rId7"/>
          <w:footerReference w:type="first" r:id="rId8"/>
          <w:type w:val="nextPage"/>
          <w:pgSz w:w="11906" w:h="16838"/>
          <w:pgMar w:left="1418" w:right="1134" w:gutter="0" w:header="709" w:top="1247" w:footer="794" w:bottom="1304"/>
          <w:pgNumType w:start="1" w:fmt="decimal"/>
          <w:formProt w:val="false"/>
          <w:titlePg/>
          <w:textDirection w:val="lrTb"/>
          <w:docGrid w:type="default" w:linePitch="360" w:charSpace="4294960946"/>
        </w:sectPr>
      </w:pPr>
    </w:p>
    <w:sdt>
      <w:sdtPr>
        <w:docPartObj>
          <w:docPartGallery w:val="Table of Contents"/>
          <w:docPartUnique w:val="true"/>
        </w:docPartObj>
        <w:id w:val="298413949"/>
      </w:sdtPr>
      <w:sdtContent>
        <w:p>
          <w:pPr>
            <w:pStyle w:val="TOCHeading"/>
            <w:ind w:hanging="0" w:left="340"/>
            <w:rPr/>
          </w:pPr>
          <w:bookmarkStart w:id="0" w:name="_Toc109201578"/>
          <w:r>
            <w:rPr>
              <w:rFonts w:ascii="Times New Roman" w:hAnsi="Times New Roman"/>
              <w:color w:val="00000A"/>
            </w:rPr>
            <w:t>Spis treści</w:t>
          </w:r>
          <w:bookmarkEnd w:id="0"/>
        </w:p>
        <w:p>
          <w:pPr>
            <w:pStyle w:val="TOC1"/>
            <w:tabs>
              <w:tab w:val="clear" w:pos="708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r>
            <w:fldChar w:fldCharType="begin"/>
          </w:r>
          <w:r>
            <w:rPr>
              <w:webHidden/>
              <w:rStyle w:val="czeindeksu"/>
            </w:rPr>
            <w:instrText xml:space="preserve"> TOC \z \u \t "Nagłówek 31,3,Nagłówek 11,1" \h</w:instrText>
          </w:r>
          <w:r>
            <w:rPr>
              <w:webHidden/>
              <w:rStyle w:val="czeindeksu"/>
            </w:rPr>
            <w:fldChar w:fldCharType="separate"/>
          </w:r>
          <w:hyperlink w:anchor="_Toc109201578">
            <w:r>
              <w:rPr>
                <w:webHidden/>
                <w:rStyle w:val="czeindeksu"/>
              </w:rPr>
              <w:t>Spis treści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_Toc109201578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79">
            <w:r>
              <w:rPr>
                <w:webHidden/>
                <w:rStyle w:val="czeindeksu"/>
              </w:rPr>
              <w:t>CZĘŚĆ BUDOWLANA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_Toc109201579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80">
            <w:r>
              <w:rPr>
                <w:webHidden/>
                <w:rStyle w:val="czeindeksu"/>
              </w:rPr>
              <w:t>1.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</w:rPr>
              <w:t>Przedmiot i zakres opracowania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_Toc109201580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81">
            <w:r>
              <w:rPr>
                <w:webHidden/>
                <w:rStyle w:val="czeindeksu"/>
              </w:rPr>
              <w:t>2.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</w:rPr>
              <w:t>Oznaczenie stacji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_Toc109201581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82">
            <w:r>
              <w:rPr>
                <w:webHidden/>
                <w:rStyle w:val="czeindeksu"/>
              </w:rPr>
              <w:t>3.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</w:rPr>
              <w:t>Geometria oraz forma obudowy stacji transformatorowej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_Toc109201582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83">
            <w:r>
              <w:rPr>
                <w:webHidden/>
                <w:rStyle w:val="czeindeksu"/>
              </w:rPr>
              <w:t>4.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</w:rPr>
              <w:t>Elementy konstrukcyjne obudowy stacji transformatorowej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_Toc109201583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84">
            <w:r>
              <w:rPr>
                <w:webHidden/>
                <w:rStyle w:val="czeindeksu"/>
              </w:rPr>
              <w:t>5.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</w:rPr>
              <w:t>Wytyczne wykonania, podnoszenia, transportu oraz montażu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_Toc109201584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8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85">
            <w:r>
              <w:rPr>
                <w:webHidden/>
                <w:rStyle w:val="czeindeksu"/>
              </w:rPr>
              <w:t>6.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</w:rPr>
              <w:t>Odporność pożarowa i lokalizacja stacji na działce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_Toc109201585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9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86">
            <w:r>
              <w:rPr>
                <w:webHidden/>
                <w:rStyle w:val="czeindeksu"/>
              </w:rPr>
              <w:t>CZĘŚĆ ELEKTRYCZNA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_Toc109201586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10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87">
            <w:r>
              <w:rPr>
                <w:webHidden/>
                <w:rStyle w:val="czeindeksu"/>
              </w:rPr>
              <w:t>7.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</w:rPr>
              <w:t>Opis techniczny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_Toc109201587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10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88">
            <w:r>
              <w:rPr>
                <w:webHidden/>
                <w:rStyle w:val="czeindeksu"/>
              </w:rPr>
              <w:t>8.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  <w:bCs/>
              </w:rPr>
              <w:t>Uwagi końcowe: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_Toc109201588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13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89">
            <w:r>
              <w:rPr>
                <w:webHidden/>
                <w:rStyle w:val="czeindeksu"/>
              </w:rPr>
              <w:t>9.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</w:rPr>
              <w:t>Normy i inne dokumenty związane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_Toc109201589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14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90">
            <w:r>
              <w:rPr>
                <w:webHidden/>
                <w:rStyle w:val="czeindeksu"/>
              </w:rPr>
              <w:t>10.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</w:rPr>
              <w:t>Spis rysunków: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_Toc109201590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502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91">
            <w:r>
              <w:rPr>
                <w:webHidden/>
                <w:rStyle w:val="czeindeksu"/>
              </w:rPr>
              <w:t>Rys. nr B1.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  <w:rFonts w:eastAsia="Symbol" w:cs="Symbol"/>
              </w:rPr>
              <w:t>Widok z góry, rozmieszczenie urządzeń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_Toc109201591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502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92">
            <w:r>
              <w:rPr>
                <w:webHidden/>
                <w:rStyle w:val="czeindeksu"/>
              </w:rPr>
              <w:t>Rys. nr B2.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</w:rPr>
              <w:t>Widoki elewacji "A", "B", "C", "D"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_Toc109201592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502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93">
            <w:r>
              <w:rPr>
                <w:webHidden/>
                <w:rStyle w:val="czeindeksu"/>
              </w:rPr>
              <w:t>Rys. nr B3.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  <w:rFonts w:eastAsia="Symbol" w:cs="Symbol"/>
              </w:rPr>
              <w:t>Piwnica kablowa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_Toc109201593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502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94">
            <w:r>
              <w:rPr>
                <w:webHidden/>
                <w:rStyle w:val="czeindeksu"/>
              </w:rPr>
              <w:t>Rys. nr B4.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  <w:rFonts w:eastAsia="Symbol" w:cs="Symbol"/>
              </w:rPr>
              <w:t>Dach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_Toc109201594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502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95">
            <w:r>
              <w:rPr>
                <w:webHidden/>
                <w:rStyle w:val="czeindeksu"/>
              </w:rPr>
              <w:t>Rys. nr B5.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  <w:rFonts w:eastAsia="Symbol" w:cs="Symbol"/>
                <w:b w:val="false"/>
                <w:bCs w:val="false"/>
              </w:rPr>
              <w:t>Posadowienie stacji w zależności od rodzaju gruntu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_Toc109201595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502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96">
            <w:r>
              <w:rPr>
                <w:webHidden/>
                <w:rStyle w:val="czeindeksu"/>
              </w:rPr>
              <w:t>Rys. nr B6.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  <w:rFonts w:eastAsia="Symbol" w:cs="Symbol"/>
              </w:rPr>
              <w:t>Posadowienie stacji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_Toc109201596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502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97">
            <w:r>
              <w:rPr>
                <w:webHidden/>
                <w:rStyle w:val="czeindeksu"/>
              </w:rPr>
              <w:t>Rys. nr E1.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  <w:rFonts w:eastAsia="Symbol" w:cs="Symbol"/>
              </w:rPr>
              <w:t>Schemat elektryczny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_Toc109201597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489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98">
            <w:r>
              <w:rPr>
                <w:webHidden/>
                <w:rStyle w:val="czeindeksu"/>
              </w:rPr>
              <w:t>Rys. nr E2.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</w:rPr>
              <w:t>Rozdzielnica SN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_Toc109201598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489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99">
            <w:r>
              <w:rPr>
                <w:webHidden/>
                <w:rStyle w:val="czeindeksu"/>
              </w:rPr>
              <w:t>Rys. nr E3.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</w:rPr>
              <w:t>Rozdzielnica nN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_Toc109201599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344" w:leader="dot"/>
            </w:tabs>
            <w:rPr/>
          </w:pPr>
          <w:r>
            <w:rPr/>
          </w:r>
          <w:r>
            <w:rPr/>
            <w:fldChar w:fldCharType="end"/>
          </w:r>
        </w:p>
        <w:p>
          <w:pPr>
            <w:pStyle w:val="Spistreci31"/>
            <w:tabs>
              <w:tab w:val="clear" w:pos="708"/>
              <w:tab w:val="right" w:pos="9354" w:leader="dot"/>
            </w:tabs>
            <w:rPr/>
          </w:pPr>
          <w:r>
            <w:rPr/>
          </w:r>
        </w:p>
      </w:sdtContent>
    </w:sdt>
    <w:p>
      <w:pPr>
        <w:pStyle w:val="Nagwek11"/>
        <w:numPr>
          <w:ilvl w:val="0"/>
          <w:numId w:val="0"/>
        </w:numPr>
        <w:ind w:hanging="0" w:left="0"/>
        <w:rPr/>
      </w:pPr>
      <w:r>
        <w:rPr/>
      </w:r>
    </w:p>
    <w:p>
      <w:pPr>
        <w:pStyle w:val="Nagwek11"/>
        <w:numPr>
          <w:ilvl w:val="0"/>
          <w:numId w:val="0"/>
        </w:numPr>
        <w:ind w:hanging="0" w:left="340"/>
        <w:jc w:val="center"/>
        <w:rPr>
          <w:u w:val="single"/>
        </w:rPr>
      </w:pPr>
      <w:r>
        <w:br w:type="column"/>
      </w:r>
      <w:bookmarkStart w:id="1" w:name="_Toc109201579"/>
      <w:r>
        <w:rPr>
          <w:u w:val="single"/>
        </w:rPr>
        <w:t>CZĘŚĆ BUDOWLANA</w:t>
      </w:r>
      <w:bookmarkEnd w:id="1"/>
    </w:p>
    <w:p>
      <w:pPr>
        <w:pStyle w:val="Nagwek11"/>
        <w:numPr>
          <w:ilvl w:val="0"/>
          <w:numId w:val="3"/>
        </w:numPr>
        <w:rPr/>
      </w:pPr>
      <w:bookmarkStart w:id="2" w:name="_Toc109201580"/>
      <w:r>
        <w:rPr/>
        <w:t>Przedmiot i zakres opracowania</w:t>
      </w:r>
      <w:bookmarkEnd w:id="2"/>
    </w:p>
    <w:p>
      <w:pPr>
        <w:pStyle w:val="Normal"/>
        <w:rPr/>
      </w:pPr>
      <w:r>
        <w:rPr/>
        <w:t xml:space="preserve">Przedmiotem opracowania jest prefabrykowana stacja transformatorowa żelbetowa SN/nN, w obudowie betonowej. Stacje typu ETSI przeznaczone są do współpracy z sieciami kablowymi lub kablowo-napowietrznymi o średnim napięciu w układzie pierścieniowym </w:t>
        <w:br/>
        <w:t xml:space="preserve">lub promieniowym oraz z sieciami niskiego napięcia. Stacje służą do zasilania obiektów </w:t>
        <w:br/>
        <w:t xml:space="preserve">i przestrzeni takich jak: 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ind w:hanging="357" w:left="538"/>
        <w:contextualSpacing/>
        <w:rPr/>
      </w:pPr>
      <w:r>
        <w:rPr/>
        <w:t>osiedla mieszkaniowe,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ind w:hanging="357" w:left="538"/>
        <w:contextualSpacing/>
        <w:rPr/>
      </w:pPr>
      <w:r>
        <w:rPr/>
        <w:t xml:space="preserve">tereny rekreacyjne, 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ind w:hanging="357" w:left="538"/>
        <w:contextualSpacing/>
        <w:rPr/>
      </w:pPr>
      <w:r>
        <w:rPr/>
        <w:t>place budowy,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ind w:hanging="357" w:left="538"/>
        <w:contextualSpacing/>
        <w:rPr/>
      </w:pPr>
      <w:r>
        <w:rPr/>
        <w:t>zakłady przemysłowe itp.</w:t>
      </w:r>
    </w:p>
    <w:p>
      <w:pPr>
        <w:pStyle w:val="Normal"/>
        <w:rPr/>
      </w:pPr>
      <w:r>
        <w:rPr/>
        <w:t xml:space="preserve">Konstrukcja stacji składa się z trzech niezależnych elementów - piwnicy kablowej, bryły głównej oraz płyty dachowej. Wszystkie elementy żelbetowe, wykonywane w przeznaczonym do tego miejscu, wykańczane i wyposażane w urządzenia elektryczne. Stopień wykończenia formy oraz wyposażenia uzależniony jest od wymagań zamawiającego. Bryła główna przeznaczona jest do montażu transformatora oraz rozdzielnic SN i nN. Stacja dzięki zachowaniu odpowiednich wymiarów przystosowana jest do obsługi wewnętrznej. Ponadto posiada ona drzwi wejściowe do części z rozdzielnicami SN i nN oraz drzwi wejściowe </w:t>
        <w:br/>
        <w:t>do części z transformatorem. Komora transformatorowa oddzielona jest od części eksploatacyjnej przegrodą siatkową, ażurową lub ścianką żelbetową. Dostęp do piwnicy zapewniony jest za pomocą włazu umieszczonego w bryle głównej w części z rozdzielnicami.</w:t>
      </w:r>
    </w:p>
    <w:p>
      <w:pPr>
        <w:pStyle w:val="Normal"/>
        <w:rPr/>
      </w:pPr>
      <w:r>
        <w:rPr/>
      </w:r>
    </w:p>
    <w:p>
      <w:pPr>
        <w:pStyle w:val="Nagwek11"/>
        <w:numPr>
          <w:ilvl w:val="0"/>
          <w:numId w:val="3"/>
        </w:numPr>
        <w:rPr/>
      </w:pPr>
      <w:bookmarkStart w:id="3" w:name="_Toc109201581"/>
      <w:bookmarkStart w:id="4" w:name="_Toc98235859"/>
      <w:bookmarkStart w:id="5" w:name="_Toc95894891"/>
      <w:bookmarkEnd w:id="4"/>
      <w:bookmarkEnd w:id="5"/>
      <w:r>
        <w:rPr/>
        <w:t>Oznaczenie stacji</w:t>
      </w:r>
      <w:bookmarkEnd w:id="3"/>
    </w:p>
    <w:p>
      <w:pPr>
        <w:pStyle w:val="ListParagraph"/>
        <w:spacing w:before="0" w:after="0"/>
        <w:ind w:hanging="0" w:left="340"/>
        <w:contextualSpacing/>
        <w:rPr/>
      </w:pPr>
      <w:bookmarkStart w:id="6" w:name="_Toc109201582"/>
      <w:bookmarkStart w:id="7" w:name="_Toc98235860"/>
      <w:bookmarkEnd w:id="7"/>
      <w:r>
        <w:rPr/>
        <w:t>Stacja została oznaczona za pomocą symboli literowo-cyfrowych.</w:t>
      </w:r>
    </w:p>
    <w:p>
      <w:pPr>
        <w:pStyle w:val="ListParagraph"/>
        <w:spacing w:before="0" w:after="0"/>
        <w:ind w:hanging="0" w:left="340"/>
        <w:contextualSpacing/>
        <w:rPr/>
      </w:pPr>
      <w:r>
        <w:rPr/>
        <w:t>Znaczenie poszczególnych symboli jest następujące:</w:t>
      </w:r>
    </w:p>
    <w:p>
      <w:pPr>
        <w:pStyle w:val="ListParagraph"/>
        <w:spacing w:before="0" w:after="0"/>
        <w:ind w:hanging="0" w:left="340"/>
        <w:contextualSpacing/>
        <w:rPr>
          <w:lang w:val="en-US"/>
        </w:rPr>
      </w:pPr>
      <w:r>
        <w:rPr/>
        <w:tab/>
      </w:r>
      <w:r>
        <w:rPr>
          <w:lang w:val="en-US"/>
        </w:rPr>
        <w:t>Przykład: ETSI 25-48</w:t>
      </w:r>
    </w:p>
    <w:p>
      <w:pPr>
        <w:pStyle w:val="ListParagraph"/>
        <w:spacing w:lineRule="auto" w:line="276" w:before="0" w:after="0"/>
        <w:ind w:hanging="0" w:left="708"/>
        <w:contextualSpacing/>
        <w:rPr/>
      </w:pPr>
      <w:r>
        <w:rPr>
          <w:lang w:val="en-GB"/>
        </w:rPr>
        <w:t>ETSI</w:t>
        <w:tab/>
        <w:t xml:space="preserve">– Emiter Transformer Substation with Internal Operation. </w:t>
      </w:r>
      <w:r>
        <w:rPr/>
        <w:t>Stacja transformatorowa z wewnętrznym korytarzem obsługi;</w:t>
      </w:r>
    </w:p>
    <w:p>
      <w:pPr>
        <w:pStyle w:val="ListParagraph"/>
        <w:spacing w:lineRule="auto" w:line="276" w:before="0" w:after="0"/>
        <w:ind w:firstLine="368" w:left="340"/>
        <w:contextualSpacing/>
        <w:rPr/>
      </w:pPr>
      <w:bookmarkStart w:id="8" w:name="_Toc109201582"/>
      <w:r>
        <w:rPr/>
        <w:t>25-48 – wymiary budynku 2,50m x 4,80m</w:t>
      </w:r>
      <w:bookmarkEnd w:id="8"/>
    </w:p>
    <w:p>
      <w:pPr>
        <w:pStyle w:val="Nagwek11"/>
        <w:numPr>
          <w:ilvl w:val="0"/>
          <w:numId w:val="3"/>
        </w:numPr>
        <w:spacing w:before="171" w:after="171"/>
        <w:rPr/>
      </w:pPr>
      <w:r>
        <w:rPr/>
        <w:t>Geometria oraz forma obudowy stacji transformatorowej</w:t>
      </w:r>
    </w:p>
    <w:p>
      <w:pPr>
        <w:pStyle w:val="Normal"/>
        <w:rPr/>
      </w:pPr>
      <w:r>
        <w:rPr>
          <w:lang w:eastAsia="ar-SA"/>
        </w:rPr>
        <w:t>Wymiary i masę nominalną projektowanych elementów prefabrykowanych obudowy stacji transformatorowej przedstawiono poniżej:</w:t>
      </w:r>
    </w:p>
    <w:p>
      <w:pPr>
        <w:pStyle w:val="BodyTextIndent3"/>
        <w:spacing w:lineRule="auto" w:line="312"/>
        <w:ind w:hanging="0" w:left="0"/>
        <w:rPr/>
      </w:pPr>
      <w:r>
        <w:rPr>
          <w:b/>
          <w:sz w:val="22"/>
          <w:szCs w:val="22"/>
          <w:lang w:eastAsia="ar-SA"/>
        </w:rPr>
        <w:t>Masa nominalna projektowanych elementów ETSI 25-48 (bez wyposażenia elektrycznego):</w:t>
      </w:r>
    </w:p>
    <w:tbl>
      <w:tblPr>
        <w:tblW w:w="7796" w:type="dxa"/>
        <w:jc w:val="left"/>
        <w:tblInd w:w="739" w:type="dxa"/>
        <w:tblLayout w:type="fixed"/>
        <w:tblCellMar>
          <w:top w:w="0" w:type="dxa"/>
          <w:left w:w="3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5521"/>
        <w:gridCol w:w="7"/>
        <w:gridCol w:w="2267"/>
      </w:tblGrid>
      <w:tr>
        <w:trPr/>
        <w:tc>
          <w:tcPr>
            <w:tcW w:w="55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left"/>
              <w:rPr>
                <w:highlight w:val="red"/>
              </w:rPr>
            </w:pPr>
            <w:r>
              <w:rPr>
                <w:lang w:eastAsia="ar-SA"/>
              </w:rPr>
              <w:t xml:space="preserve"> </w:t>
            </w:r>
            <w:r>
              <w:rPr>
                <w:lang w:eastAsia="ar-SA"/>
              </w:rPr>
              <w:t xml:space="preserve">Bryła główna </w:t>
            </w:r>
            <w:r>
              <w:rPr>
                <w:szCs w:val="24"/>
              </w:rPr>
              <w:t xml:space="preserve"> [ t ]</w:t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red"/>
              </w:rPr>
            </w:pPr>
            <w:r>
              <w:rPr>
                <w:szCs w:val="24"/>
              </w:rPr>
              <w:t>15,2</w:t>
            </w:r>
          </w:p>
        </w:tc>
      </w:tr>
      <w:tr>
        <w:trPr/>
        <w:tc>
          <w:tcPr>
            <w:tcW w:w="55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left"/>
              <w:rPr>
                <w:highlight w:val="red"/>
              </w:rPr>
            </w:pPr>
            <w:r>
              <w:rPr>
                <w:lang w:eastAsia="ar-SA"/>
              </w:rPr>
              <w:t xml:space="preserve"> </w:t>
            </w:r>
            <w:r>
              <w:rPr>
                <w:lang w:eastAsia="ar-SA"/>
              </w:rPr>
              <w:t>Piwnica kablowa</w:t>
            </w:r>
            <w:r>
              <w:rPr>
                <w:szCs w:val="24"/>
              </w:rPr>
              <w:t xml:space="preserve"> [ t ]</w:t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red"/>
              </w:rPr>
            </w:pPr>
            <w:r>
              <w:rPr>
                <w:szCs w:val="24"/>
              </w:rPr>
              <w:t>6,8</w:t>
            </w:r>
          </w:p>
        </w:tc>
      </w:tr>
      <w:tr>
        <w:trPr/>
        <w:tc>
          <w:tcPr>
            <w:tcW w:w="55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left"/>
              <w:rPr>
                <w:highlight w:val="red"/>
              </w:rPr>
            </w:pPr>
            <w:r>
              <w:rPr>
                <w:lang w:eastAsia="ar-SA"/>
              </w:rPr>
              <w:t xml:space="preserve"> </w:t>
            </w:r>
            <w:r>
              <w:rPr>
                <w:lang w:eastAsia="ar-SA"/>
              </w:rPr>
              <w:t xml:space="preserve">Płyta dachowa </w:t>
            </w:r>
            <w:r>
              <w:rPr>
                <w:szCs w:val="24"/>
              </w:rPr>
              <w:t>[ t ]</w:t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red"/>
              </w:rPr>
            </w:pPr>
            <w:r>
              <w:rPr>
                <w:szCs w:val="24"/>
              </w:rPr>
              <w:t>4,9</w:t>
            </w:r>
          </w:p>
        </w:tc>
      </w:tr>
      <w:tr>
        <w:trPr>
          <w:trHeight w:val="330" w:hRule="atLeast"/>
          <w:cantSplit w:val="true"/>
        </w:trPr>
        <w:tc>
          <w:tcPr>
            <w:tcW w:w="5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red"/>
              </w:rPr>
            </w:pPr>
            <w:r>
              <w:rPr>
                <w:b/>
                <w:szCs w:val="24"/>
              </w:rPr>
              <w:t>Łączna masa [ t ]</w:t>
            </w:r>
          </w:p>
        </w:tc>
        <w:tc>
          <w:tcPr>
            <w:tcW w:w="22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red"/>
              </w:rPr>
            </w:pPr>
            <w:r>
              <w:rPr>
                <w:b/>
                <w:szCs w:val="24"/>
              </w:rPr>
              <w:t>26,9</w:t>
            </w:r>
          </w:p>
        </w:tc>
      </w:tr>
    </w:tbl>
    <w:p>
      <w:pPr>
        <w:pStyle w:val="BodyTextIndent3"/>
        <w:spacing w:lineRule="auto" w:line="312"/>
        <w:ind w:hanging="0" w:left="0"/>
        <w:rPr>
          <w:b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</w:r>
    </w:p>
    <w:p>
      <w:pPr>
        <w:pStyle w:val="BodyTextIndent3"/>
        <w:spacing w:lineRule="auto" w:line="312"/>
        <w:ind w:hanging="0" w:left="0"/>
        <w:rPr>
          <w:sz w:val="24"/>
          <w:szCs w:val="24"/>
        </w:rPr>
      </w:pPr>
      <w:r>
        <w:rPr>
          <w:b/>
          <w:sz w:val="24"/>
          <w:szCs w:val="24"/>
          <w:lang w:eastAsia="ar-SA"/>
        </w:rPr>
        <w:t>Wymiary projektowanej stacji ETSI 2,50x 4,80:</w:t>
      </w:r>
    </w:p>
    <w:tbl>
      <w:tblPr>
        <w:tblW w:w="7796" w:type="dxa"/>
        <w:jc w:val="left"/>
        <w:tblInd w:w="739" w:type="dxa"/>
        <w:tblLayout w:type="fixed"/>
        <w:tblCellMar>
          <w:top w:w="0" w:type="dxa"/>
          <w:left w:w="3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3554"/>
        <w:gridCol w:w="1967"/>
        <w:gridCol w:w="7"/>
        <w:gridCol w:w="2268"/>
      </w:tblGrid>
      <w:tr>
        <w:trPr/>
        <w:tc>
          <w:tcPr>
            <w:tcW w:w="3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/>
            </w:pPr>
            <w:r>
              <w:rPr>
                <w:b/>
                <w:lang w:eastAsia="ar-SA"/>
              </w:rPr>
              <w:t>Bryła główna:</w:t>
            </w:r>
          </w:p>
        </w:tc>
        <w:tc>
          <w:tcPr>
            <w:tcW w:w="19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szCs w:val="24"/>
              </w:rPr>
              <w:t>zewnętrzny  [mm]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szCs w:val="24"/>
              </w:rPr>
              <w:t>wewnętrzny  [mm]</w:t>
            </w:r>
          </w:p>
        </w:tc>
      </w:tr>
      <w:tr>
        <w:trPr/>
        <w:tc>
          <w:tcPr>
            <w:tcW w:w="3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/>
            </w:pPr>
            <w:r>
              <w:rPr>
                <w:lang w:eastAsia="ar-SA"/>
              </w:rPr>
              <w:t>długość</w:t>
            </w:r>
          </w:p>
        </w:tc>
        <w:tc>
          <w:tcPr>
            <w:tcW w:w="19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color w:themeColor="text1" w:val="000000"/>
                <w:lang w:eastAsia="ar-SA"/>
              </w:rPr>
              <w:t>4800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/>
            </w:pPr>
            <w:r>
              <w:rPr>
                <w:color w:themeColor="text1" w:val="000000"/>
                <w:lang w:eastAsia="ar-SA"/>
              </w:rPr>
              <w:t>4560</w:t>
            </w:r>
          </w:p>
        </w:tc>
      </w:tr>
      <w:tr>
        <w:trPr/>
        <w:tc>
          <w:tcPr>
            <w:tcW w:w="3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/>
            </w:pPr>
            <w:r>
              <w:rPr>
                <w:lang w:eastAsia="ar-SA"/>
              </w:rPr>
              <w:t>szerokość</w:t>
            </w:r>
          </w:p>
        </w:tc>
        <w:tc>
          <w:tcPr>
            <w:tcW w:w="19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color w:themeColor="text1" w:val="000000"/>
                <w:lang w:eastAsia="ar-SA"/>
              </w:rPr>
              <w:t>2500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/>
            </w:pPr>
            <w:r>
              <w:rPr>
                <w:color w:themeColor="text1" w:val="000000"/>
                <w:lang w:eastAsia="ar-SA"/>
              </w:rPr>
              <w:t>2260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/>
            </w:pPr>
            <w:r>
              <w:rPr>
                <w:lang w:eastAsia="ar-SA"/>
              </w:rPr>
              <w:t>wysokość</w:t>
            </w:r>
          </w:p>
        </w:tc>
        <w:tc>
          <w:tcPr>
            <w:tcW w:w="19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color w:themeColor="text1" w:val="000000"/>
                <w:lang w:eastAsia="ar-SA"/>
              </w:rPr>
              <w:t>2650</w:t>
            </w:r>
          </w:p>
        </w:tc>
        <w:tc>
          <w:tcPr>
            <w:tcW w:w="2275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/>
            </w:pPr>
            <w:r>
              <w:rPr>
                <w:color w:themeColor="text1" w:val="000000"/>
                <w:lang w:eastAsia="ar-SA"/>
              </w:rPr>
              <w:t>2500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1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/>
            </w:pPr>
            <w:r>
              <w:rPr>
                <w:b/>
                <w:lang w:eastAsia="ar-SA"/>
              </w:rPr>
              <w:t>Piwnica kablowa:</w:t>
            </w:r>
          </w:p>
        </w:tc>
        <w:tc>
          <w:tcPr>
            <w:tcW w:w="1967" w:type="dxa"/>
            <w:tcBorders>
              <w:top w:val="single" w:sz="1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rPr/>
            </w:pPr>
            <w:r>
              <w:rPr>
                <w:szCs w:val="24"/>
              </w:rPr>
              <w:t>zewnętrzny [mm]</w:t>
            </w:r>
          </w:p>
        </w:tc>
        <w:tc>
          <w:tcPr>
            <w:tcW w:w="2275" w:type="dxa"/>
            <w:gridSpan w:val="2"/>
            <w:tcBorders>
              <w:top w:val="single" w:sz="1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szCs w:val="24"/>
              </w:rPr>
              <w:t>wewnętrzny  [mm]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/>
            </w:pPr>
            <w:r>
              <w:rPr>
                <w:lang w:eastAsia="ar-SA"/>
              </w:rPr>
              <w:t>długość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color w:themeColor="text1" w:val="000000"/>
                <w:lang w:eastAsia="ar-SA"/>
              </w:rPr>
              <w:t>4776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/>
              <w:t>4536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/>
            </w:pPr>
            <w:r>
              <w:rPr>
                <w:lang w:eastAsia="ar-SA"/>
              </w:rPr>
              <w:t>szerokość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color w:themeColor="text1" w:val="000000"/>
                <w:lang w:eastAsia="ar-SA"/>
              </w:rPr>
              <w:t>2476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color w:themeColor="text1" w:val="000000"/>
                <w:lang w:eastAsia="ar-SA"/>
              </w:rPr>
              <w:t>2236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/>
            </w:pPr>
            <w:r>
              <w:rPr>
                <w:lang w:eastAsia="ar-SA"/>
              </w:rPr>
              <w:t>wysokość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color w:themeColor="text1" w:val="000000"/>
                <w:lang w:eastAsia="ar-SA"/>
              </w:rPr>
              <w:t>915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/>
              <w:t>795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1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/>
            </w:pPr>
            <w:r>
              <w:rPr>
                <w:b/>
                <w:lang w:eastAsia="ar-SA"/>
              </w:rPr>
              <w:t>Płyta dachowa:</w:t>
            </w:r>
          </w:p>
        </w:tc>
        <w:tc>
          <w:tcPr>
            <w:tcW w:w="1967" w:type="dxa"/>
            <w:tcBorders>
              <w:top w:val="single" w:sz="1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rPr/>
            </w:pPr>
            <w:r>
              <w:rPr>
                <w:szCs w:val="24"/>
              </w:rPr>
              <w:t>zewnętrzny [mm]</w:t>
            </w:r>
          </w:p>
        </w:tc>
        <w:tc>
          <w:tcPr>
            <w:tcW w:w="2275" w:type="dxa"/>
            <w:gridSpan w:val="2"/>
            <w:tcBorders>
              <w:top w:val="single" w:sz="1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/>
            </w:pPr>
            <w:r>
              <w:rPr>
                <w:lang w:eastAsia="ar-SA"/>
              </w:rPr>
              <w:t>długość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color w:themeColor="text1" w:val="000000"/>
                <w:lang w:eastAsia="ar-SA"/>
              </w:rPr>
              <w:t>4980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/>
            </w:pPr>
            <w:r>
              <w:rPr>
                <w:lang w:eastAsia="ar-SA"/>
              </w:rPr>
              <w:t>szerokość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color w:themeColor="text1" w:val="000000"/>
                <w:lang w:eastAsia="ar-SA"/>
              </w:rPr>
              <w:t>2680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/>
            </w:pPr>
            <w:r>
              <w:rPr>
                <w:lang w:eastAsia="ar-SA"/>
              </w:rPr>
              <w:t>wysokość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lang w:eastAsia="ar-SA"/>
              </w:rPr>
              <w:t>186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/>
            </w:pPr>
            <w:r>
              <w:rPr>
                <w:b/>
                <w:lang w:eastAsia="ar-SA"/>
              </w:rPr>
              <w:t>Wys. od poz. terenu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lang w:eastAsia="ar-SA"/>
              </w:rPr>
              <w:t>~2936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szCs w:val="24"/>
              </w:rPr>
              <w:t>[mm]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/>
            </w:pPr>
            <w:r>
              <w:rPr>
                <w:b/>
                <w:lang w:eastAsia="ar-SA"/>
              </w:rPr>
              <w:t>Powierzchnia zabudowy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lang w:eastAsia="ar-SA"/>
              </w:rPr>
              <w:t>12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szCs w:val="24"/>
              </w:rPr>
              <w:t>[m2]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/>
            </w:pPr>
            <w:r>
              <w:rPr>
                <w:b/>
                <w:lang w:eastAsia="ar-SA"/>
              </w:rPr>
              <w:t>Powierzchnia użytkowa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lang w:eastAsia="ar-SA"/>
              </w:rPr>
              <w:t>10,3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szCs w:val="24"/>
              </w:rPr>
              <w:t>[m2]</w:t>
            </w:r>
          </w:p>
        </w:tc>
      </w:tr>
    </w:tbl>
    <w:p>
      <w:pPr>
        <w:pStyle w:val="Normal"/>
        <w:rPr>
          <w:lang w:eastAsia="ar-SA"/>
        </w:rPr>
      </w:pPr>
      <w:r>
        <w:rPr>
          <w:lang w:eastAsia="ar-SA"/>
        </w:rPr>
      </w:r>
    </w:p>
    <w:p>
      <w:pPr>
        <w:pStyle w:val="Normal"/>
        <w:ind w:hanging="0"/>
        <w:rPr>
          <w:lang w:eastAsia="ar-SA"/>
        </w:rPr>
      </w:pPr>
      <w:r>
        <w:rPr>
          <w:lang w:eastAsia="ar-SA"/>
        </w:rPr>
      </w:r>
    </w:p>
    <w:p>
      <w:pPr>
        <w:pStyle w:val="Normal"/>
        <w:ind w:hanging="0"/>
        <w:rPr>
          <w:lang w:eastAsia="ar-SA"/>
        </w:rPr>
      </w:pPr>
      <w:r>
        <w:rPr>
          <w:lang w:eastAsia="ar-SA"/>
        </w:rPr>
      </w:r>
    </w:p>
    <w:p>
      <w:pPr>
        <w:pStyle w:val="Normal"/>
        <w:ind w:hanging="0"/>
        <w:rPr>
          <w:lang w:eastAsia="ar-SA"/>
        </w:rPr>
      </w:pPr>
      <w:r>
        <w:rPr>
          <w:lang w:eastAsia="ar-SA"/>
        </w:rPr>
      </w:r>
    </w:p>
    <w:p>
      <w:pPr>
        <w:pStyle w:val="Normal"/>
        <w:ind w:hanging="0"/>
        <w:rPr>
          <w:lang w:eastAsia="ar-SA"/>
        </w:rPr>
      </w:pPr>
      <w:r>
        <w:rPr>
          <w:lang w:eastAsia="ar-SA"/>
        </w:rPr>
      </w:r>
    </w:p>
    <w:p>
      <w:pPr>
        <w:pStyle w:val="Normal"/>
        <w:ind w:hanging="0"/>
        <w:rPr>
          <w:lang w:eastAsia="ar-SA"/>
        </w:rPr>
      </w:pPr>
      <w:r>
        <w:rPr>
          <w:lang w:eastAsia="ar-SA"/>
        </w:rPr>
      </w:r>
    </w:p>
    <w:p>
      <w:pPr>
        <w:pStyle w:val="Normal"/>
        <w:ind w:hanging="0"/>
        <w:rPr>
          <w:lang w:eastAsia="ar-SA"/>
        </w:rPr>
      </w:pPr>
      <w:r>
        <w:rPr>
          <w:lang w:eastAsia="ar-SA"/>
        </w:rPr>
      </w:r>
    </w:p>
    <w:p>
      <w:pPr>
        <w:pStyle w:val="Nagwek11"/>
        <w:numPr>
          <w:ilvl w:val="0"/>
          <w:numId w:val="3"/>
        </w:numPr>
        <w:rPr/>
      </w:pPr>
      <w:bookmarkStart w:id="9" w:name="_Toc109201583"/>
      <w:bookmarkStart w:id="10" w:name="_Toc98235861"/>
      <w:bookmarkEnd w:id="10"/>
      <w:r>
        <w:rPr/>
        <w:t>Elementy konstrukcyjne obudowy stacji transformatorowej</w:t>
      </w:r>
      <w:bookmarkEnd w:id="9"/>
    </w:p>
    <w:p>
      <w:pPr>
        <w:pStyle w:val="Nagwek11"/>
        <w:numPr>
          <w:ilvl w:val="0"/>
          <w:numId w:val="0"/>
        </w:numPr>
        <w:ind w:hanging="0" w:left="340"/>
        <w:rPr/>
      </w:pPr>
      <w:r>
        <w:rPr/>
      </w:r>
    </w:p>
    <w:p>
      <w:pPr>
        <w:pStyle w:val="Nagwek21"/>
        <w:numPr>
          <w:ilvl w:val="1"/>
          <w:numId w:val="3"/>
        </w:numPr>
        <w:ind w:firstLine="425" w:left="993"/>
        <w:rPr/>
      </w:pPr>
      <w:bookmarkStart w:id="11" w:name="_Toc98235862"/>
      <w:r>
        <w:rPr/>
        <w:t>D</w:t>
      </w:r>
      <w:bookmarkEnd w:id="11"/>
      <w:r>
        <w:rPr/>
        <w:t>ach</w:t>
      </w:r>
    </w:p>
    <w:p>
      <w:pPr>
        <w:pStyle w:val="ListParagraph"/>
        <w:ind w:firstLine="368" w:left="340"/>
        <w:rPr/>
      </w:pPr>
      <w:r>
        <w:rPr/>
        <w:t xml:space="preserve">Dach obudowy stacji transformatorowej wykonany jest w postaci płyty żelbetowej w kształcie prostokątnym oraz zmiennej grubości w celu ukształtowania 3% spadku. Dach jest wykonany jako dwuspadowy. Minimalna grubość płyty dachowej wynosi 120 mm, </w:t>
        <w:br/>
        <w:t xml:space="preserve">a maksymalna 186 mm. Płyta dachowa wykonana jest z betonu samozagęszczanego SCC klasy C-30/37. Elementy takie jak krawędź czy okap są dodatkowo dozbrajane. </w:t>
      </w:r>
    </w:p>
    <w:p>
      <w:pPr>
        <w:pStyle w:val="ListParagraph"/>
        <w:ind w:hanging="0" w:left="340"/>
        <w:rPr/>
      </w:pPr>
      <w:r>
        <w:rPr/>
      </w:r>
    </w:p>
    <w:p>
      <w:pPr>
        <w:pStyle w:val="ListParagraph"/>
        <w:ind w:firstLine="368" w:left="340"/>
        <w:rPr/>
      </w:pPr>
      <w:r>
        <w:rPr/>
        <w:t xml:space="preserve">Dach osadzany jest bezpośrednio na ścianach, na specjalnych podkładach z elastomeru dzięki którym pomiędzy ścianami stacji a dachem tworzy się szczelina, która służy do wentylacji grawitacyjnej pomieszczenia stacji. 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agwek21"/>
        <w:numPr>
          <w:ilvl w:val="1"/>
          <w:numId w:val="3"/>
        </w:numPr>
        <w:ind w:firstLine="425" w:left="993"/>
        <w:rPr/>
      </w:pPr>
      <w:bookmarkStart w:id="12" w:name="_Toc98235863"/>
      <w:bookmarkEnd w:id="12"/>
      <w:r>
        <w:rPr/>
        <w:t>Bryła główna</w:t>
      </w:r>
    </w:p>
    <w:p>
      <w:pPr>
        <w:pStyle w:val="ListParagraph"/>
        <w:ind w:firstLine="368" w:left="340"/>
        <w:rPr/>
      </w:pPr>
      <w:r>
        <w:rPr/>
        <w:t xml:space="preserve">Bryłę główną obudowy stacji transformatorowej stanowi monolitycznie powiązany </w:t>
        <w:br/>
        <w:t>ze sobą układ czterech ścian i podłogi. Podłoga stanowi oddzielenie pomieszczeń: transformatora i rozdzielnic od wewnętrznej przestrzeni piwnicy kablowej.</w:t>
      </w:r>
    </w:p>
    <w:p>
      <w:pPr>
        <w:pStyle w:val="ListParagraph"/>
        <w:ind w:firstLine="368" w:left="340"/>
        <w:rPr/>
      </w:pPr>
      <w:r>
        <w:rPr/>
        <w:t xml:space="preserve">Obudowa wykonana jest z betonu samozagęszczanego SCC klasy C-30/37. Obudowę wykonuje się równocześnie betonując ściany z podłogą, dzięki czemu tworzony jest szczelny monolit. </w:t>
      </w:r>
    </w:p>
    <w:p>
      <w:pPr>
        <w:pStyle w:val="ListParagraph"/>
        <w:ind w:firstLine="368" w:left="340"/>
        <w:rPr/>
      </w:pPr>
      <w:r>
        <w:rPr/>
        <w:t xml:space="preserve">Oddzielenie pomieszczenia transformatora od pomieszczenia rozdzielnic stanowi przegroda siatkowa lub blacha perforowana. W bryle głównej wykonuje się otwory w ścianach na  drzwi i kraty wentylacyjne, natomiast w podłodze otwory włazowe oraz otwory </w:t>
        <w:br/>
        <w:t>dla przeprowadzenia kabli do piwnicy. Typ oddzielenia oraz umiejscowienie i gabaryty otworów są zindywidualizowane dla każdego projektu i zależą od zaistniałych potrzeb klienta.</w:t>
      </w:r>
    </w:p>
    <w:p>
      <w:pPr>
        <w:pStyle w:val="ListParagraph"/>
        <w:ind w:firstLine="368" w:left="340"/>
        <w:rPr/>
      </w:pPr>
      <w:r>
        <w:rPr/>
        <w:t>Wewnętrzna powierzchnia ścian pokryta jest farbą templową w kolorze białym lub innym o jasnym odcieniu. Zewnętrzna powierzchnia ścian pokryta jest także tynkiem akrylowym elewacyjnym. Kolorystyka i rodzaj elewacji oferowane są w wersji standardowej (patrz katalog producenta). Istnieje możliwość wykonania kolorystyki i rodzaju elewacji obudowy według indywidualnych wymagań klienta.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agwek21"/>
        <w:numPr>
          <w:ilvl w:val="1"/>
          <w:numId w:val="3"/>
        </w:numPr>
        <w:ind w:firstLine="425" w:left="993"/>
        <w:rPr/>
      </w:pPr>
      <w:bookmarkStart w:id="13" w:name="_Toc98235864"/>
      <w:bookmarkEnd w:id="13"/>
      <w:r>
        <w:rPr/>
        <w:t>Piwnica kablowa</w:t>
      </w:r>
    </w:p>
    <w:p>
      <w:pPr>
        <w:pStyle w:val="Normal"/>
        <w:rPr/>
      </w:pPr>
      <w:r>
        <w:rPr/>
        <w:t xml:space="preserve">Piwnica kablowa wykonana jest w postaci jednolitego prefabrykatu o wymiarach dostosowanych do strefy przemarzania gruntu, według normy [2] i pełniącego jednocześnie rolę fundamentu stacji. Piwnica kablowa wykonana jest z betonu samozagęszczanego SCC klasy </w:t>
        <w:br/>
        <w:t xml:space="preserve">C-30/37. </w:t>
      </w:r>
    </w:p>
    <w:p>
      <w:pPr>
        <w:pStyle w:val="Normal"/>
        <w:rPr/>
      </w:pPr>
      <w:r>
        <w:rPr/>
        <w:t>W przypadku przeznaczenia stacji do zainstalowania w niej transformatora olejowego piwnica kablowa posiada wydzielone komory: misę olejową i przedział kablowy. Komory te oddzielone są przegrodą betonową o wysokości 380 mm. Misa może pomieścić z zapasem całą zawartość oleju z transformatora. Powierzchnia misy olejowej jest pokryta 2-krotną warstwą farby olejoochronnej. Ściany zewnętrzne piwnicy pokryte są środkiem hydroizolacyjnym.</w:t>
      </w:r>
    </w:p>
    <w:p>
      <w:pPr>
        <w:pStyle w:val="Normal"/>
        <w:rPr/>
      </w:pPr>
      <w:r>
        <w:rPr/>
        <w:t xml:space="preserve">W piwnicy na etapie jej odlewania, instalowane są przepusty kablowe zgodnie </w:t>
        <w:br/>
        <w:t>z wymaganiami klienta. W aktualnym rozwiązaniu przewiduje się montaż następujących przepustów:</w:t>
      </w:r>
    </w:p>
    <w:p>
      <w:pPr>
        <w:pStyle w:val="Normal"/>
        <w:numPr>
          <w:ilvl w:val="0"/>
          <w:numId w:val="8"/>
        </w:numPr>
        <w:rPr/>
      </w:pPr>
      <w:r>
        <w:rPr/>
        <w:t xml:space="preserve">2x przepust APP – 150/120 dla kabli SN  </w:t>
      </w:r>
    </w:p>
    <w:p>
      <w:pPr>
        <w:pStyle w:val="Normal"/>
        <w:numPr>
          <w:ilvl w:val="0"/>
          <w:numId w:val="8"/>
        </w:numPr>
        <w:rPr/>
      </w:pPr>
      <w:r>
        <w:rPr/>
        <w:t>2x przepust bateryjny Fe/Zn 10x75 – dla kabli nN</w:t>
      </w:r>
    </w:p>
    <w:p>
      <w:pPr>
        <w:pStyle w:val="Normal"/>
        <w:ind w:hanging="0"/>
        <w:rPr/>
      </w:pPr>
      <w:r>
        <w:rPr/>
      </w:r>
    </w:p>
    <w:p>
      <w:pPr>
        <w:pStyle w:val="Nagwek21"/>
        <w:numPr>
          <w:ilvl w:val="1"/>
          <w:numId w:val="3"/>
        </w:numPr>
        <w:ind w:firstLine="425" w:left="993"/>
        <w:rPr/>
      </w:pPr>
      <w:r>
        <w:rPr/>
        <w:t>Warunki gruntowo-wodne</w:t>
      </w:r>
    </w:p>
    <w:p>
      <w:pPr>
        <w:pStyle w:val="Normal"/>
        <w:rPr/>
      </w:pPr>
      <w:r>
        <w:rPr/>
        <w:t>Lokalizację transformatorowych stacji prefabrykowanych zakłada się w terenie, gdzie nie stwierdzono występowania wody gruntowej powyżej poziomu posadowienia (w obliczeniach nie uwzględniono parcia hydrostatycznego), świeżych form osuwiskowych, spełzów zboczowych oraz innych zjawisk geodynamicznych destabilizujących podłoże budowlane.</w:t>
      </w:r>
    </w:p>
    <w:p>
      <w:pPr>
        <w:pStyle w:val="Normal"/>
        <w:rPr/>
      </w:pPr>
      <w:r>
        <w:rPr/>
        <w:t xml:space="preserve">Rozwiązanie sposobu posadowienia uwarunkowane jest zastanymi warunkami gruntowo </w:t>
        <w:br/>
        <w:t>- wodnymi w rejonie lokalizacji obiektu budowlanego. Właściwe rozpoznanie wymienionych wcześniej warunków oraz przygotowanie podłoża w miejscu posadowienia leży po stronie Inwestora. Wszelkie prace wynikające z zakresu posadowienia stacji winny być prowadzone pod nadzorem osób uprawnionych, potwierdzone stosownymi protokołami odbioru, na podstawie wcześniej wykonanych opracowań branżowych, nie będących w zakresie sprzedawcy stacji transformatorowych.</w:t>
      </w:r>
    </w:p>
    <w:p>
      <w:pPr>
        <w:pStyle w:val="Normal"/>
        <w:rPr/>
      </w:pPr>
      <w:r>
        <w:rPr/>
      </w:r>
    </w:p>
    <w:p>
      <w:pPr>
        <w:pStyle w:val="Nagwek21"/>
        <w:numPr>
          <w:ilvl w:val="1"/>
          <w:numId w:val="3"/>
        </w:numPr>
        <w:ind w:firstLine="425" w:left="993"/>
        <w:rPr/>
      </w:pPr>
      <w:bookmarkStart w:id="14" w:name="_Toc98235865"/>
      <w:bookmarkEnd w:id="14"/>
      <w:r>
        <w:rPr/>
        <w:t>Posadowienie na gruncie</w:t>
      </w:r>
    </w:p>
    <w:p>
      <w:pPr>
        <w:pStyle w:val="Normal"/>
        <w:rPr/>
      </w:pPr>
      <w:r>
        <w:rPr/>
        <w:t xml:space="preserve">Posadowienie stacji polega na wykonaniu w ziemi wykopu szerokoprzestrzennego zgodnego z rysunkiem posadowienia stacji. Należy zwrócić uwagę, aby wykopu nie przegłębić i pozostawić grunt rodzimy w stanie nienaruszonym. Podłoże wykopu należy wyłożyć warstwą żwiru o grubości 100 mm zagęszczonego mechanicznie, a jego powierzchnia musi zostać starannie wypoziomowana. W wykopie należy ułożyć uziom otokowy </w:t>
        <w:br/>
        <w:t xml:space="preserve">i podłączyć do niego przewody uziemiające, które będą podłączone do stacji. Bednarkę uziemiająca usytuować w odległości ok 1 m od ścian fundamentu poniżej poziomu drenażu </w:t>
        <w:br/>
        <w:t xml:space="preserve">i zasypać ją gruntem rodzimym. </w:t>
      </w:r>
    </w:p>
    <w:p>
      <w:pPr>
        <w:pStyle w:val="Normal"/>
        <w:rPr/>
      </w:pPr>
      <w:r>
        <w:rPr/>
        <w:t>W przypadku stwierdzenia w poziomie posadowienia gruntu niejednorodnego, gliniastego lub podsiąkania wody gruntowej należy na warstwie podsypki wykonać warstwę podłoża z betonu klasy min. C 12/15 grubości 12÷15 cm.</w:t>
      </w:r>
    </w:p>
    <w:p>
      <w:pPr>
        <w:pStyle w:val="Normal"/>
        <w:rPr/>
      </w:pPr>
      <w:r>
        <w:rPr/>
        <w:t xml:space="preserve">Szczegółowe wytyczne dotyczące wykonania podbudowy pod stacją przedstawione są na dołączonych do dokumentacji rysunkach. Należy zastosować jeden z czterech proponowanych wariantów w zależności od warunków gruntowych obiektu. </w:t>
      </w:r>
    </w:p>
    <w:p>
      <w:pPr>
        <w:pStyle w:val="Normal"/>
        <w:ind w:hanging="0"/>
        <w:rPr/>
      </w:pPr>
      <w:r>
        <w:rPr/>
      </w:r>
    </w:p>
    <w:p>
      <w:pPr>
        <w:pStyle w:val="Nagwek11"/>
        <w:numPr>
          <w:ilvl w:val="0"/>
          <w:numId w:val="3"/>
        </w:numPr>
        <w:rPr/>
      </w:pPr>
      <w:bookmarkStart w:id="15" w:name="_Toc109201584"/>
      <w:bookmarkStart w:id="16" w:name="_Toc98235866"/>
      <w:bookmarkEnd w:id="16"/>
      <w:r>
        <w:rPr/>
        <w:t>Wytyczne wykonania, podnoszenia, transportu oraz montażu</w:t>
      </w:r>
      <w:bookmarkEnd w:id="15"/>
    </w:p>
    <w:p>
      <w:pPr>
        <w:pStyle w:val="Normal"/>
        <w:ind w:hanging="0"/>
        <w:rPr/>
      </w:pPr>
      <w:r>
        <w:rPr/>
      </w:r>
    </w:p>
    <w:p>
      <w:pPr>
        <w:pStyle w:val="Nagwek21"/>
        <w:numPr>
          <w:ilvl w:val="1"/>
          <w:numId w:val="3"/>
        </w:numPr>
        <w:ind w:firstLine="425" w:left="993"/>
        <w:rPr/>
      </w:pPr>
      <w:bookmarkStart w:id="17" w:name="_Toc98235868"/>
      <w:r>
        <w:rPr/>
        <w:t>Podnoszenie składowanie i transport</w:t>
      </w:r>
      <w:bookmarkEnd w:id="17"/>
      <w:r>
        <w:rPr/>
        <w:t xml:space="preserve"> elementów obudowy</w:t>
      </w:r>
    </w:p>
    <w:p>
      <w:pPr>
        <w:pStyle w:val="Normal"/>
        <w:rPr/>
      </w:pPr>
      <w:r>
        <w:rPr/>
        <w:t>Elementy obudowy należy podnosić i transportować przy użyciu dźwigu lub suwnicy o nośności dostosowanej do ciężaru prefabrykatów przy pomocy zamocowanych w elementach pętli gwintowanych. Umiejscowienie haków w poszczególnych elementach prefabrykowanych stacji pokazano na rysunkach konstrukcyjnych. Nie należy zmieniać lokalizacji haków transportowych, ponieważ może to wpłynąć na statykę danego elementu i w konsekwencji doprowadzić do jego zniszczenia.</w:t>
      </w:r>
    </w:p>
    <w:p>
      <w:pPr>
        <w:pStyle w:val="BodyText"/>
        <w:rPr/>
      </w:pPr>
      <w:r>
        <w:rPr/>
        <w:t>Elementy obudowy składować należy na terenie płaskim, utwardzonym.</w:t>
      </w:r>
    </w:p>
    <w:p>
      <w:pPr>
        <w:pStyle w:val="BodyText"/>
        <w:rPr/>
      </w:pPr>
      <w:r>
        <w:rPr/>
      </w:r>
    </w:p>
    <w:p>
      <w:pPr>
        <w:pStyle w:val="Nagwek21"/>
        <w:numPr>
          <w:ilvl w:val="1"/>
          <w:numId w:val="3"/>
        </w:numPr>
        <w:ind w:firstLine="425" w:left="993"/>
        <w:rPr/>
      </w:pPr>
      <w:bookmarkStart w:id="18" w:name="_Toc98235869"/>
      <w:bookmarkEnd w:id="18"/>
      <w:r>
        <w:rPr/>
        <w:t>Opis montażu</w:t>
      </w:r>
    </w:p>
    <w:p>
      <w:pPr>
        <w:pStyle w:val="ListParagraph"/>
        <w:ind w:firstLine="368" w:left="340"/>
        <w:rPr/>
      </w:pPr>
      <w:r>
        <w:rPr/>
        <w:t>Sposób montażu oraz transportu pokazano na rysunkach załączonych do niniejszego opracowania. Elementy obudowy stacji należy układać na terenie płaskim, odpowiednio wyrównanym i utwardzonym (zminimalizowane osiadanie) na podbudowie żwirowej gr. 20cm lub podłożu betonowym gr. min 12cm.</w:t>
      </w:r>
    </w:p>
    <w:p>
      <w:pPr>
        <w:pStyle w:val="ListParagraph"/>
        <w:ind w:firstLine="368" w:left="340"/>
        <w:rPr/>
      </w:pPr>
      <w:r>
        <w:rPr/>
        <w:t>Piwnicę kablową należy ustawić w wykopie na wypoziomowanej i zagęszczonej podsypce żwirowej. Należy ją starannie wypoziomować. Na górnej powierzchni ścianek piwnicy kablowej należy nanieść elastyczną masę przeciwwilgociową zabezpieczającą płaszczyznę styku z bryłą główną obudowy stacji. Na górnej powierzchni ścianek bryły głównej, w miejscu styku z dachem stacji należy rozmieścić podkładki elastomerowe o grubości 15 mm. Dopiero po ich ułożeniu można umieścić płytę dachową.</w:t>
      </w:r>
    </w:p>
    <w:p>
      <w:pPr>
        <w:pStyle w:val="ListParagraph"/>
        <w:ind w:firstLine="368" w:left="340"/>
        <w:rPr/>
      </w:pPr>
      <w:r>
        <w:rPr/>
        <w:t xml:space="preserve">Dach ułożony jest swobodnie, dzięki czemu w momencie wystąpienia zwarcia łukowego ma możliwość unoszenia się do góry, dając ujście ciśnieniu oraz gazom i cząsteczkom połukowym, a następnie opada swobodnie na swoje dawne miejsce. Należy zaznaczyć, że podpory dla dachu stanowią dwie ściany obudowy po długości. </w:t>
      </w:r>
    </w:p>
    <w:p>
      <w:pPr>
        <w:pStyle w:val="ListParagraph"/>
        <w:ind w:firstLine="368" w:left="340"/>
        <w:rPr/>
      </w:pPr>
      <w:r>
        <w:rPr/>
        <w:t>Podobnie ma się sytuacja w odniesieniu dla podłogi, przy czym tutaj podpory stanowią ściany po długości elementu piwnicy.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agwek21"/>
        <w:numPr>
          <w:ilvl w:val="1"/>
          <w:numId w:val="3"/>
        </w:numPr>
        <w:ind w:firstLine="425" w:left="993"/>
        <w:rPr/>
      </w:pPr>
      <w:bookmarkStart w:id="19" w:name="_Toc98235870"/>
      <w:bookmarkEnd w:id="19"/>
      <w:r>
        <w:rPr/>
        <w:t>Zasady bezpieczeństwa</w:t>
      </w:r>
    </w:p>
    <w:p>
      <w:pPr>
        <w:pStyle w:val="Normal"/>
        <w:rPr/>
      </w:pPr>
      <w:r>
        <w:rPr/>
        <w:t xml:space="preserve"> </w:t>
      </w:r>
      <w:r>
        <w:rPr/>
        <w:t>Uchwyty   montażowe   zastosowane   do   prefabrykatów   muszą   posiadać wszystkie odpowiednie atesty zgodnie z przepisami szczegółowymi. Dopuszcza się zastosowanie innych niż przyjęte w projekcie uchwytów montażowych z zachowaniem ich nośności odpowiednio do masy prefabrykatów. Nie dopuszcza się zmiany miejsc montażu uchwytów w prefabrykatach gdyż może to doprowadzić do zmiany schematu statycznego a w rezultacie do zniszczenia formy.</w:t>
      </w:r>
    </w:p>
    <w:p>
      <w:pPr>
        <w:pStyle w:val="Normal"/>
        <w:rPr/>
      </w:pPr>
      <w:r>
        <w:rPr/>
        <w:t>Montaż prefabrykatów musi odbywać się pod nadzorem osoby z odpowiednimi uprawnieniami budowlanymi. Dopuszcza się montaż obiektu po uprzednim uzyskaniu niezbędnego wymaganego pozwolenia. Pozwolenia na budowę lub zgłoszenia nie są przedmiotem niniejszego opracowania.</w:t>
      </w:r>
    </w:p>
    <w:p>
      <w:pPr>
        <w:pStyle w:val="Normal"/>
        <w:rPr/>
      </w:pPr>
      <w:r>
        <w:rPr/>
      </w:r>
    </w:p>
    <w:p>
      <w:pPr>
        <w:pStyle w:val="Nagwek11"/>
        <w:numPr>
          <w:ilvl w:val="0"/>
          <w:numId w:val="3"/>
        </w:numPr>
        <w:rPr/>
      </w:pPr>
      <w:bookmarkStart w:id="20" w:name="_Toc109201585"/>
      <w:bookmarkStart w:id="21" w:name="_Toc98235871"/>
      <w:bookmarkEnd w:id="21"/>
      <w:r>
        <w:rPr/>
        <w:t>Odporność pożarowa i lokalizacja stacji na działce</w:t>
      </w:r>
      <w:bookmarkEnd w:id="20"/>
    </w:p>
    <w:p>
      <w:pPr>
        <w:pStyle w:val="Normal"/>
        <w:ind w:hanging="0"/>
        <w:rPr/>
      </w:pPr>
      <w:r>
        <w:rPr/>
        <w:t xml:space="preserve">Lokalizację stacji na działce przyjmuje się zgodnie z danym projektem architektoniczno-budowlanym na podstawie przepisów Rozporządzenia Ministra Infrastruktury z dnia 12 kwietnia 2002 w sprawie warunków technicznych, jakim powinny odpowiadać budynki i ich usytuowanie. (Dz. U. Nr 75 poz. 690 z poźn. zmianami), a także </w:t>
        <w:br/>
        <w:t xml:space="preserve">w przepisach odrębnych w tym higieniczno-sanitarnych, o bezpieczeństwie i higienie pracy, </w:t>
        <w:br/>
        <w:t>o ochronie przeciwpożarowej oraz o drogach publicznych.</w:t>
      </w:r>
    </w:p>
    <w:p>
      <w:pPr>
        <w:pStyle w:val="Nagwek21"/>
        <w:numPr>
          <w:ilvl w:val="1"/>
          <w:numId w:val="3"/>
        </w:numPr>
        <w:tabs>
          <w:tab w:val="clear" w:pos="1983"/>
          <w:tab w:val="clear" w:pos="2150"/>
          <w:tab w:val="clear" w:pos="2267"/>
          <w:tab w:val="left" w:pos="1701" w:leader="none"/>
        </w:tabs>
        <w:ind w:hanging="152" w:left="1712"/>
        <w:rPr/>
      </w:pPr>
      <w:r>
        <w:rPr/>
        <w:t>Wytrzymałość ogniowa obudowy stacji</w:t>
      </w:r>
    </w:p>
    <w:p>
      <w:pPr>
        <w:pStyle w:val="ListParagraph"/>
        <w:ind w:firstLine="709" w:left="0"/>
        <w:rPr/>
      </w:pPr>
      <w:r>
        <w:rPr>
          <w:rFonts w:eastAsia="Symbol" w:cs="Symbol"/>
        </w:rPr>
        <w:t xml:space="preserve">Zgodnie z Polską Normą PN-EN 62271-202:2010 [2], materiały użyte w konstrukcji stacji transformatorowej prefabrykowanej powinny posiadać minimalny poziom odporności </w:t>
        <w:br/>
        <w:t xml:space="preserve">na ogień pojawiający się wewnątrz lub na zewnątrz stacji. W wytrzymałości ogniowej uwzględniana jest tylko reakcja na ogień. Dopuszcza się rozważanie odporności na ogień, według lokalnych przepisów, co jest przedmiotem uzgodnień między wytwórcą </w:t>
        <w:br/>
        <w:t>i użytkownikiem.</w:t>
      </w:r>
    </w:p>
    <w:p>
      <w:pPr>
        <w:pStyle w:val="ListParagraph"/>
        <w:ind w:firstLine="709" w:left="0"/>
        <w:rPr/>
      </w:pPr>
      <w:r>
        <w:rPr>
          <w:rFonts w:eastAsia="Symbol"/>
        </w:rPr>
        <w:t>Elementy obudowy posiadają klasę odporności ogniowej odpowiednio do ich klasy odporności pożarowej i nierozprzestrzeniają ognia - ściana boczna (bez kraty wentylacyjnej) i dach – REI 120.</w:t>
      </w:r>
    </w:p>
    <w:p>
      <w:pPr>
        <w:pStyle w:val="Normal"/>
        <w:rPr/>
      </w:pPr>
      <w:r>
        <w:rPr/>
        <w:t>Drzwi w ścianie frontowej (do komór transformatorów oraz do przedziału obsługi wewnętrznej) są stalowe, płaszczowe i mogą być wykonane w wersji posiadającej odporność ogniową do EI 120. Z kolei kraty wentylacyjne w ścianach bocznych i tylnej mogą posiadać klapy ppoż. o odporności ogniowej do EI 120.</w:t>
      </w:r>
    </w:p>
    <w:p>
      <w:pPr>
        <w:pStyle w:val="Normal"/>
        <w:rPr>
          <w:rFonts w:eastAsia="Symbol" w:cs="Symbol"/>
        </w:rPr>
      </w:pPr>
      <w:r>
        <w:rPr>
          <w:rFonts w:eastAsia="Symbol" w:cs="Symbol"/>
        </w:rPr>
      </w:r>
    </w:p>
    <w:p>
      <w:pPr>
        <w:pStyle w:val="Normal"/>
        <w:rPr/>
      </w:pPr>
      <w:r>
        <w:rPr/>
      </w:r>
    </w:p>
    <w:p>
      <w:pPr>
        <w:pStyle w:val="Nagwek11"/>
        <w:numPr>
          <w:ilvl w:val="0"/>
          <w:numId w:val="0"/>
        </w:numPr>
        <w:ind w:hanging="0" w:left="340"/>
        <w:jc w:val="center"/>
        <w:rPr/>
      </w:pPr>
      <w:bookmarkStart w:id="22" w:name="_Toc109201586"/>
      <w:r>
        <w:rPr>
          <w:u w:val="single"/>
        </w:rPr>
        <w:t>CZĘŚĆ ELEKTRYCZNA</w:t>
      </w:r>
      <w:bookmarkEnd w:id="22"/>
    </w:p>
    <w:p>
      <w:pPr>
        <w:pStyle w:val="Nagwek11"/>
        <w:numPr>
          <w:ilvl w:val="0"/>
          <w:numId w:val="3"/>
        </w:numPr>
        <w:rPr/>
      </w:pPr>
      <w:bookmarkStart w:id="23" w:name="_Toc109201587"/>
      <w:r>
        <w:rPr/>
        <w:t>Opis techniczny</w:t>
      </w:r>
      <w:bookmarkEnd w:id="23"/>
    </w:p>
    <w:p>
      <w:pPr>
        <w:pStyle w:val="Nagwek11"/>
        <w:numPr>
          <w:ilvl w:val="0"/>
          <w:numId w:val="0"/>
        </w:numPr>
        <w:ind w:hanging="0" w:left="340"/>
        <w:rPr/>
      </w:pPr>
      <w:r>
        <w:rPr/>
      </w:r>
    </w:p>
    <w:p>
      <w:pPr>
        <w:pStyle w:val="Nagwek21"/>
        <w:numPr>
          <w:ilvl w:val="1"/>
          <w:numId w:val="3"/>
        </w:numPr>
        <w:ind w:firstLine="425" w:left="993"/>
        <w:rPr/>
      </w:pPr>
      <w:bookmarkStart w:id="24" w:name="_Toc98235873"/>
      <w:bookmarkEnd w:id="24"/>
      <w:r>
        <w:rPr/>
        <w:t>Wstęp</w:t>
      </w:r>
    </w:p>
    <w:p>
      <w:pPr>
        <w:pStyle w:val="Normal"/>
        <w:rPr/>
      </w:pPr>
      <w:r>
        <w:rPr/>
        <w:t xml:space="preserve">Projektuje się kontenerową stację transformatorową z obsługą wewnętrzną, </w:t>
        <w:br/>
        <w:t>typu ETSI 2,5 x 4,8 z transformatorem 15,75/0,42 kV o mocy 1000 kVA.</w:t>
      </w:r>
    </w:p>
    <w:p>
      <w:pPr>
        <w:pStyle w:val="Normal"/>
        <w:ind w:hanging="0"/>
        <w:rPr/>
      </w:pPr>
      <w:r>
        <w:rPr/>
      </w:r>
      <w:bookmarkStart w:id="25" w:name="_Toc95894902"/>
      <w:bookmarkStart w:id="26" w:name="_Toc98235874"/>
      <w:bookmarkStart w:id="27" w:name="_Toc95894902"/>
      <w:bookmarkStart w:id="28" w:name="_Toc98235874"/>
      <w:bookmarkEnd w:id="27"/>
      <w:bookmarkEnd w:id="28"/>
    </w:p>
    <w:p>
      <w:pPr>
        <w:pStyle w:val="Nagwek21"/>
        <w:numPr>
          <w:ilvl w:val="1"/>
          <w:numId w:val="3"/>
        </w:numPr>
        <w:ind w:firstLine="425" w:left="993"/>
        <w:rPr/>
      </w:pPr>
      <w:bookmarkStart w:id="29" w:name="_Toc98235875"/>
      <w:bookmarkEnd w:id="29"/>
      <w:r>
        <w:rPr/>
        <w:t>Rozdzielnica średniego napięcia</w:t>
      </w:r>
    </w:p>
    <w:p>
      <w:pPr>
        <w:pStyle w:val="Normal"/>
        <w:rPr/>
      </w:pPr>
      <w:r>
        <w:rPr/>
        <w:t xml:space="preserve">W stacji zastosowano 3-polową rozdzielnicę SN typu EMVS </w:t>
      </w:r>
      <w:r>
        <w:rPr/>
        <w:t>ECO</w:t>
      </w:r>
      <w:r>
        <w:rPr/>
        <w:t xml:space="preserve"> produkcji Emiter </w:t>
        <w:br/>
        <w:t xml:space="preserve">z aparaturą łączeniową w izolacji </w:t>
      </w:r>
      <w:r>
        <w:rPr/>
        <w:t xml:space="preserve">czystego powietrza -bez </w:t>
      </w:r>
      <w:r>
        <w:rPr/>
        <w:t>gazu SF</w:t>
      </w:r>
      <w:r>
        <w:rPr>
          <w:vertAlign w:val="subscript"/>
        </w:rPr>
        <w:t>6</w:t>
      </w:r>
      <w:r>
        <w:rPr/>
        <w:t xml:space="preserve">  -o konfiguracji:</w:t>
      </w:r>
    </w:p>
    <w:p>
      <w:pPr>
        <w:pStyle w:val="Normal"/>
        <w:spacing w:before="0" w:after="0"/>
        <w:rPr/>
      </w:pPr>
      <w:r>
        <w:rPr/>
        <w:t xml:space="preserve">-   1x pole liniowe. </w:t>
      </w:r>
    </w:p>
    <w:p>
      <w:pPr>
        <w:pStyle w:val="Normal"/>
        <w:spacing w:before="0" w:after="0"/>
        <w:rPr/>
      </w:pPr>
      <w:r>
        <w:rPr/>
        <w:t>-   1x pole pomiarowe.</w:t>
      </w:r>
    </w:p>
    <w:p>
      <w:pPr>
        <w:pStyle w:val="Normal"/>
        <w:spacing w:before="0" w:after="0"/>
        <w:rPr/>
      </w:pPr>
      <w:r>
        <w:rPr/>
        <w:t>-   1x pole transformatorowe (wyłącznikowe).</w:t>
      </w:r>
    </w:p>
    <w:p>
      <w:pPr>
        <w:pStyle w:val="Normal"/>
        <w:ind w:hanging="0"/>
        <w:rPr/>
      </w:pPr>
      <w:r>
        <w:rPr/>
        <w:t>Wymiary rozdzielnicy SN:</w:t>
      </w:r>
    </w:p>
    <w:p>
      <w:pPr>
        <w:pStyle w:val="Normal"/>
        <w:spacing w:before="0" w:after="0"/>
        <w:rPr/>
      </w:pPr>
      <w:r>
        <w:rPr>
          <w:color w:val="000000"/>
          <w:szCs w:val="24"/>
        </w:rPr>
        <w:t xml:space="preserve">- Szerokość - </w:t>
        <w:tab/>
        <w:t>2</w:t>
      </w:r>
      <w:r>
        <w:rPr>
          <w:color w:val="000000"/>
          <w:szCs w:val="24"/>
        </w:rPr>
        <w:t>0</w:t>
      </w:r>
      <w:r>
        <w:rPr>
          <w:color w:val="000000"/>
          <w:szCs w:val="24"/>
        </w:rPr>
        <w:t>00 mm.</w:t>
      </w:r>
    </w:p>
    <w:p>
      <w:pPr>
        <w:pStyle w:val="Normal"/>
        <w:spacing w:before="0" w:after="0"/>
        <w:rPr/>
      </w:pPr>
      <w:r>
        <w:rPr>
          <w:color w:val="000000"/>
          <w:szCs w:val="24"/>
        </w:rPr>
        <w:t xml:space="preserve">- Głębokość - </w:t>
        <w:tab/>
      </w:r>
      <w:r>
        <w:rPr>
          <w:color w:val="000000"/>
          <w:szCs w:val="24"/>
        </w:rPr>
        <w:t>1120</w:t>
      </w:r>
      <w:r>
        <w:rPr>
          <w:color w:val="000000"/>
          <w:szCs w:val="24"/>
        </w:rPr>
        <w:t xml:space="preserve"> mm.</w:t>
      </w:r>
    </w:p>
    <w:p>
      <w:pPr>
        <w:pStyle w:val="Normal"/>
        <w:rPr/>
      </w:pPr>
      <w:r>
        <w:rPr/>
        <w:t xml:space="preserve">Rozdzielnica SN jest wyposażona w rozłącznik i odłącznik z napędem ręcznym </w:t>
        <w:br/>
        <w:t>oraz wyłącznik z napędem silnikowym. W polu pomiarowym znajdują się 3 szt przekładników napięciowych i 3szt przekładników prądowych.</w:t>
      </w:r>
    </w:p>
    <w:p>
      <w:pPr>
        <w:pStyle w:val="Normal"/>
        <w:rPr/>
      </w:pPr>
      <w:r>
        <w:rPr/>
        <w:t>Połączenie rozdzielnicy z transformatorem wykonano kablem 3xYHAKXS 1x70 mm</w:t>
      </w:r>
      <w:r>
        <w:rPr>
          <w:vertAlign w:val="superscript"/>
        </w:rPr>
        <w:t>2</w:t>
      </w:r>
      <w:r>
        <w:rPr/>
        <w:t>. Szczegółowe dane rozdzielnicy SN, znajdują się  w dokumentacji techniczno ruchowej rozdzielnicy SN. W polu transformatorowym zastosowano głowice CHE-I.</w:t>
      </w:r>
    </w:p>
    <w:p>
      <w:pPr>
        <w:pStyle w:val="Normal"/>
        <w:rPr/>
      </w:pPr>
      <w:r>
        <w:rPr/>
      </w:r>
    </w:p>
    <w:p>
      <w:pPr>
        <w:pStyle w:val="Nagwek21"/>
        <w:numPr>
          <w:ilvl w:val="1"/>
          <w:numId w:val="3"/>
        </w:numPr>
        <w:ind w:firstLine="425" w:left="993"/>
        <w:rPr/>
      </w:pPr>
      <w:bookmarkStart w:id="30" w:name="_Toc95894905"/>
      <w:bookmarkStart w:id="31" w:name="_Toc98235876"/>
      <w:bookmarkEnd w:id="30"/>
      <w:bookmarkEnd w:id="31"/>
      <w:r>
        <w:rPr/>
        <w:t>Rozdzielnica niskiego napięcia</w:t>
      </w:r>
    </w:p>
    <w:p>
      <w:pPr>
        <w:pStyle w:val="Normal"/>
        <w:rPr/>
      </w:pPr>
      <w:r>
        <w:rPr/>
        <w:t xml:space="preserve">W rozwiązaniu stacji zastosowano rozdzielnicę niskiego napięcia typu RNTw produkcji EMITER. </w:t>
      </w:r>
    </w:p>
    <w:p>
      <w:pPr>
        <w:pStyle w:val="Normal"/>
        <w:spacing w:before="0" w:after="0"/>
        <w:ind w:hanging="0"/>
        <w:rPr/>
      </w:pPr>
      <w:r>
        <w:rPr/>
        <w:t>Wymiary rozdzielnicy RNTw  wynoszą:</w:t>
      </w:r>
    </w:p>
    <w:p>
      <w:pPr>
        <w:pStyle w:val="Normal"/>
        <w:spacing w:before="0" w:after="0"/>
        <w:rPr/>
      </w:pPr>
      <w:r>
        <w:rPr/>
        <w:t xml:space="preserve">- Szerokość - </w:t>
        <w:tab/>
        <w:t>1100 mm</w:t>
      </w:r>
    </w:p>
    <w:p>
      <w:pPr>
        <w:pStyle w:val="Normal"/>
        <w:spacing w:before="0" w:after="0"/>
        <w:rPr/>
      </w:pPr>
      <w:r>
        <w:rPr/>
        <w:t xml:space="preserve">- Wysokość - </w:t>
        <w:tab/>
        <w:t>2100 mm</w:t>
      </w:r>
    </w:p>
    <w:p>
      <w:pPr>
        <w:pStyle w:val="Normal"/>
        <w:spacing w:before="0" w:after="0"/>
        <w:rPr/>
      </w:pPr>
      <w:r>
        <w:rPr/>
        <w:t xml:space="preserve">- Głębokość - </w:t>
        <w:tab/>
        <w:t>450 mm</w:t>
      </w:r>
    </w:p>
    <w:p>
      <w:pPr>
        <w:pStyle w:val="Normal"/>
        <w:spacing w:before="0" w:after="0"/>
        <w:ind w:hanging="0"/>
        <w:rPr/>
      </w:pPr>
      <w:r>
        <w:rPr/>
      </w:r>
    </w:p>
    <w:p>
      <w:pPr>
        <w:pStyle w:val="Normal"/>
        <w:spacing w:before="0" w:after="0"/>
        <w:ind w:hanging="0"/>
        <w:rPr/>
      </w:pPr>
      <w:r>
        <w:rPr/>
        <w:t>W rozdzielnicy RNTw, jako aparat główny zastosowano wyłącznik 1600A 3P.</w:t>
      </w:r>
    </w:p>
    <w:p>
      <w:pPr>
        <w:pStyle w:val="Normal"/>
        <w:spacing w:before="0" w:after="0"/>
        <w:ind w:hanging="0"/>
        <w:rPr/>
      </w:pPr>
      <w:r>
        <w:rPr/>
        <w:t>Rozdzielnica wyposażona jest na odpływach w:</w:t>
      </w:r>
    </w:p>
    <w:p>
      <w:pPr>
        <w:pStyle w:val="ListParagraph"/>
        <w:numPr>
          <w:ilvl w:val="0"/>
          <w:numId w:val="8"/>
        </w:numPr>
        <w:spacing w:before="0" w:after="0"/>
        <w:contextualSpacing/>
        <w:rPr/>
      </w:pPr>
      <w:r>
        <w:rPr/>
        <w:t>9 x rozłącznik bezpiecznikowy listwowy NH-2.</w:t>
      </w:r>
    </w:p>
    <w:p>
      <w:pPr>
        <w:pStyle w:val="ListParagraph"/>
        <w:numPr>
          <w:ilvl w:val="0"/>
          <w:numId w:val="8"/>
        </w:numPr>
        <w:spacing w:before="0" w:after="0"/>
        <w:contextualSpacing/>
        <w:rPr/>
      </w:pPr>
      <w:r>
        <w:rPr/>
        <w:t>1 x rozłącznik bezpiecznikowy listwowy NH-1 (zabezpieczenie ogranicznika przepięć).</w:t>
      </w:r>
    </w:p>
    <w:p>
      <w:pPr>
        <w:pStyle w:val="ListParagraph"/>
        <w:spacing w:before="0" w:after="0"/>
        <w:ind w:hanging="0" w:left="720"/>
        <w:contextualSpacing/>
        <w:rPr/>
      </w:pPr>
      <w:r>
        <w:rPr/>
      </w:r>
    </w:p>
    <w:p>
      <w:pPr>
        <w:pStyle w:val="Normal"/>
        <w:spacing w:before="0" w:after="0"/>
        <w:ind w:hanging="0" w:left="360"/>
        <w:rPr/>
      </w:pPr>
      <w:r>
        <w:rPr/>
        <w:t>W rozdzielnicy zastosowano wyłącznik oraz most szynowy dostosowany do  prądu 1600A.</w:t>
      </w:r>
    </w:p>
    <w:p>
      <w:pPr>
        <w:pStyle w:val="Normal"/>
        <w:rPr/>
      </w:pPr>
      <w:r>
        <w:rPr/>
        <w:t>Połączenie rozdzielnicy z transformatorem wykonano kablami 4x(</w:t>
      </w:r>
      <w:r>
        <w:rPr>
          <w:color w:val="auto"/>
        </w:rPr>
        <w:t>4xYKY 1x240</w:t>
      </w:r>
      <w:r>
        <w:rPr/>
        <w:t xml:space="preserve"> mm</w:t>
      </w:r>
      <w:r>
        <w:rPr>
          <w:vertAlign w:val="superscript"/>
        </w:rPr>
        <w:t>2</w:t>
      </w:r>
      <w:r>
        <w:rPr/>
        <w:t>). Rozdzielnica w wykonaniu standardowym przystosowana jest do pracy w układzie  TN-C.</w:t>
      </w:r>
    </w:p>
    <w:p>
      <w:pPr>
        <w:pStyle w:val="Normal"/>
        <w:tabs>
          <w:tab w:val="clear" w:pos="708"/>
          <w:tab w:val="right" w:pos="6804" w:leader="none"/>
          <w:tab w:val="left" w:pos="6946" w:leader="none"/>
        </w:tabs>
        <w:ind w:hanging="0"/>
        <w:rPr/>
      </w:pPr>
      <w:r>
        <w:rPr>
          <w:b/>
        </w:rPr>
        <w:t>Parametry rozdzielnicy:</w:t>
      </w:r>
    </w:p>
    <w:tbl>
      <w:tblPr>
        <w:tblW w:w="7479" w:type="dxa"/>
        <w:jc w:val="center"/>
        <w:tblInd w:w="0" w:type="dxa"/>
        <w:tblLayout w:type="fixed"/>
        <w:tblCellMar>
          <w:top w:w="0" w:type="dxa"/>
          <w:left w:w="3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5316"/>
        <w:gridCol w:w="2162"/>
      </w:tblGrid>
      <w:tr>
        <w:trPr/>
        <w:tc>
          <w:tcPr>
            <w:tcW w:w="5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rPr/>
            </w:pPr>
            <w:r>
              <w:rPr/>
              <w:t>Prąd znamionowy ciągły szyn głównych</w:t>
            </w:r>
          </w:p>
        </w:tc>
        <w:tc>
          <w:tcPr>
            <w:tcW w:w="2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jc w:val="center"/>
              <w:rPr/>
            </w:pPr>
            <w:r>
              <w:rPr/>
              <w:t>1600 A</w:t>
            </w:r>
          </w:p>
        </w:tc>
      </w:tr>
      <w:tr>
        <w:trPr/>
        <w:tc>
          <w:tcPr>
            <w:tcW w:w="5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rPr/>
            </w:pPr>
            <w:r>
              <w:rPr/>
              <w:t>Prąd znamionowy ciągły pól odpływowych</w:t>
            </w:r>
          </w:p>
        </w:tc>
        <w:tc>
          <w:tcPr>
            <w:tcW w:w="2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jc w:val="center"/>
              <w:rPr/>
            </w:pPr>
            <w:r>
              <w:rPr/>
              <w:t>400 A</w:t>
            </w:r>
          </w:p>
        </w:tc>
      </w:tr>
      <w:tr>
        <w:trPr>
          <w:trHeight w:val="522" w:hRule="atLeast"/>
        </w:trPr>
        <w:tc>
          <w:tcPr>
            <w:tcW w:w="5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rPr/>
            </w:pPr>
            <w:r>
              <w:rPr/>
              <w:t>Prąd znamionowy krótkotrwały wytrzymywany (I</w:t>
            </w:r>
            <w:r>
              <w:rPr>
                <w:vertAlign w:val="subscript"/>
              </w:rPr>
              <w:t>cw</w:t>
            </w:r>
            <w:r>
              <w:rPr/>
              <w:t>) szyn zbiorczych głównych</w:t>
            </w:r>
          </w:p>
        </w:tc>
        <w:tc>
          <w:tcPr>
            <w:tcW w:w="2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jc w:val="center"/>
              <w:rPr>
                <w:highlight w:val="red"/>
              </w:rPr>
            </w:pPr>
            <w:r>
              <w:rPr/>
              <w:t>25 kA; 1s</w:t>
            </w:r>
          </w:p>
        </w:tc>
      </w:tr>
      <w:tr>
        <w:trPr>
          <w:trHeight w:val="374" w:hRule="atLeast"/>
        </w:trPr>
        <w:tc>
          <w:tcPr>
            <w:tcW w:w="5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rPr/>
            </w:pPr>
            <w:r>
              <w:rPr/>
              <w:t>Prąd znamionowy szczytowy wytrzymywany (I</w:t>
            </w:r>
            <w:r>
              <w:rPr>
                <w:vertAlign w:val="subscript"/>
              </w:rPr>
              <w:t>pk</w:t>
            </w:r>
            <w:r>
              <w:rPr/>
              <w:t>) szyn zbiorczych głównych</w:t>
            </w:r>
          </w:p>
        </w:tc>
        <w:tc>
          <w:tcPr>
            <w:tcW w:w="2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jc w:val="center"/>
              <w:rPr>
                <w:highlight w:val="red"/>
              </w:rPr>
            </w:pPr>
            <w:r>
              <w:rPr/>
              <w:t>63 kA</w:t>
            </w:r>
          </w:p>
        </w:tc>
      </w:tr>
      <w:tr>
        <w:trPr/>
        <w:tc>
          <w:tcPr>
            <w:tcW w:w="5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rPr/>
            </w:pPr>
            <w:r>
              <w:rPr/>
              <w:t>Odporność na działanie łuku wewnętrznego</w:t>
            </w:r>
          </w:p>
        </w:tc>
        <w:tc>
          <w:tcPr>
            <w:tcW w:w="2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jc w:val="center"/>
              <w:rPr>
                <w:highlight w:val="red"/>
              </w:rPr>
            </w:pPr>
            <w:r>
              <w:rPr/>
              <w:t>20 kA; 0,5s</w:t>
            </w:r>
          </w:p>
        </w:tc>
      </w:tr>
      <w:tr>
        <w:trPr/>
        <w:tc>
          <w:tcPr>
            <w:tcW w:w="5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agwek1"/>
              <w:spacing w:lineRule="auto" w:line="276"/>
              <w:ind w:hanging="0"/>
              <w:rPr/>
            </w:pPr>
            <w:r>
              <w:rPr/>
              <w:t>Częstotliwość znamionowa</w:t>
            </w:r>
          </w:p>
        </w:tc>
        <w:tc>
          <w:tcPr>
            <w:tcW w:w="2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agwek1"/>
              <w:spacing w:lineRule="auto" w:line="276"/>
              <w:ind w:hanging="0"/>
              <w:jc w:val="center"/>
              <w:rPr/>
            </w:pPr>
            <w:r>
              <w:rPr/>
              <w:t>50 Hz</w:t>
            </w:r>
          </w:p>
        </w:tc>
      </w:tr>
      <w:tr>
        <w:trPr/>
        <w:tc>
          <w:tcPr>
            <w:tcW w:w="5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agwek1"/>
              <w:spacing w:lineRule="auto" w:line="276"/>
              <w:ind w:hanging="0"/>
              <w:rPr/>
            </w:pPr>
            <w:r>
              <w:rPr/>
              <w:t>Odporność na uderzenia mechaniczne</w:t>
            </w:r>
          </w:p>
        </w:tc>
        <w:tc>
          <w:tcPr>
            <w:tcW w:w="2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agwek1"/>
              <w:spacing w:lineRule="auto" w:line="276"/>
              <w:ind w:hanging="0"/>
              <w:jc w:val="center"/>
              <w:rPr/>
            </w:pPr>
            <w:r>
              <w:rPr/>
              <w:t>IK10</w:t>
            </w:r>
          </w:p>
        </w:tc>
      </w:tr>
    </w:tbl>
    <w:p>
      <w:pPr>
        <w:pStyle w:val="BodyText"/>
        <w:spacing w:lineRule="auto" w:line="276"/>
        <w:ind w:hanging="0"/>
        <w:jc w:val="left"/>
        <w:rPr>
          <w:b/>
        </w:rPr>
      </w:pPr>
      <w:r>
        <w:rPr>
          <w:b/>
        </w:rPr>
      </w:r>
    </w:p>
    <w:p>
      <w:pPr>
        <w:pStyle w:val="Nagwek21"/>
        <w:numPr>
          <w:ilvl w:val="1"/>
          <w:numId w:val="3"/>
        </w:numPr>
        <w:ind w:firstLine="425" w:left="993"/>
        <w:rPr/>
      </w:pPr>
      <w:bookmarkStart w:id="32" w:name="_Toc95894906"/>
      <w:bookmarkStart w:id="33" w:name="_Toc98235877"/>
      <w:bookmarkEnd w:id="32"/>
      <w:bookmarkEnd w:id="33"/>
      <w:r>
        <w:rPr/>
        <w:t>Komora transformatora</w:t>
      </w:r>
    </w:p>
    <w:p>
      <w:pPr>
        <w:pStyle w:val="Normal"/>
        <w:rPr/>
      </w:pPr>
      <w:r>
        <w:rPr/>
        <w:t xml:space="preserve">W stacji przewiduje się montaż transformatora w wykonaniu fabrycznym o mocy </w:t>
        <w:br/>
        <w:t xml:space="preserve">do 1000 kVA. Transformator jest wstawiany przez drzwi lub dach i zabezpieczony </w:t>
        <w:br/>
        <w:t xml:space="preserve">przed przesuwaniem </w:t>
      </w:r>
      <w:r>
        <w:rPr>
          <w:rFonts w:eastAsia="Symbol" w:cs="Symbol"/>
        </w:rPr>
        <w:t>poprzez podkładki wibroizolacyjne</w:t>
      </w:r>
      <w:r>
        <w:rPr/>
        <w:t>.</w:t>
      </w:r>
    </w:p>
    <w:p>
      <w:pPr>
        <w:pStyle w:val="Normal"/>
        <w:rPr/>
      </w:pPr>
      <w:r>
        <w:rPr/>
        <w:t xml:space="preserve">Komora transformatora oddzielona jest od pomieszczenia ruchu elektrycznego (wspólny korytarz obsługi rozdzielnicy nN i SN) </w:t>
      </w:r>
      <w:r>
        <w:rPr>
          <w:color w:val="000000"/>
        </w:rPr>
        <w:t>ścianką z blachy perforowanej</w:t>
      </w:r>
      <w:r>
        <w:rPr/>
        <w:t xml:space="preserve">. Posadzka w komorze transformatorowej posiada otwór, przez który w razie wycieku oleju z transformatora </w:t>
        <w:br/>
        <w:t>(w przypadku stosowania transformatora olejowego) spływa on do szczelnej misy olejowej stanowiącej wydzieloną część fundamentu (kablowni)</w:t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agwek21"/>
        <w:numPr>
          <w:ilvl w:val="1"/>
          <w:numId w:val="3"/>
        </w:numPr>
        <w:ind w:firstLine="425" w:left="993"/>
        <w:rPr/>
      </w:pPr>
      <w:bookmarkStart w:id="34" w:name="_Toc98235878"/>
      <w:bookmarkEnd w:id="34"/>
      <w:r>
        <w:rPr/>
        <w:t>Instalacje elektryczne stacji</w:t>
      </w:r>
    </w:p>
    <w:p>
      <w:pPr>
        <w:pStyle w:val="Normal"/>
        <w:rPr/>
      </w:pPr>
      <w:r>
        <w:rPr/>
        <w:t xml:space="preserve">Oświetlenie pomieszczeń stacji wykonane jest źródłami: </w:t>
      </w:r>
    </w:p>
    <w:p>
      <w:pPr>
        <w:pStyle w:val="ListParagraph"/>
        <w:numPr>
          <w:ilvl w:val="0"/>
          <w:numId w:val="8"/>
        </w:numPr>
        <w:rPr/>
      </w:pPr>
      <w:r>
        <w:rPr/>
        <w:t>1 x oprawa kanałowa okrągła  z gwintem E27 (w komorze transformatora).</w:t>
      </w:r>
    </w:p>
    <w:p>
      <w:pPr>
        <w:pStyle w:val="ListParagraph"/>
        <w:numPr>
          <w:ilvl w:val="0"/>
          <w:numId w:val="8"/>
        </w:numPr>
        <w:rPr/>
      </w:pPr>
      <w:r>
        <w:rPr/>
        <w:t>2 x oprawa pyłoszczelna 2x36W (w przedziale obsługi wewnętrznej).</w:t>
      </w:r>
    </w:p>
    <w:p>
      <w:pPr>
        <w:pStyle w:val="Normal"/>
        <w:ind w:hanging="0"/>
        <w:rPr/>
      </w:pPr>
      <w:r>
        <w:rPr/>
        <w:t>Oświetlenie stacji załączane i wyłączane jest poprzez łączniki umieszczone przy drzwiach.</w:t>
      </w:r>
    </w:p>
    <w:p>
      <w:pPr>
        <w:pStyle w:val="Normal"/>
        <w:ind w:hanging="0"/>
        <w:rPr/>
      </w:pPr>
      <w:r>
        <w:rPr/>
        <w:t>Gniazdo jednofazowe zainstalowane jest obok rozdzielnicy nN.</w:t>
      </w:r>
    </w:p>
    <w:p>
      <w:pPr>
        <w:pStyle w:val="Normal"/>
        <w:ind w:hanging="0"/>
        <w:rPr/>
      </w:pPr>
      <w:r>
        <w:rPr/>
        <w:t>Zabezpieczenia obwodów potrzeb własnych stacji zainstalowane są w rozdzielnicy nN.</w:t>
      </w:r>
    </w:p>
    <w:p>
      <w:pPr>
        <w:pStyle w:val="Normal"/>
        <w:ind w:hanging="0"/>
        <w:rPr/>
      </w:pPr>
      <w:r>
        <w:rPr/>
        <w:t>Oprawy oświetleniowe zasilane są przewodami DY 3x1,5 mm2.</w:t>
      </w:r>
    </w:p>
    <w:p>
      <w:pPr>
        <w:pStyle w:val="Normal"/>
        <w:ind w:hanging="0"/>
        <w:rPr/>
      </w:pPr>
      <w:r>
        <w:rPr/>
      </w:r>
    </w:p>
    <w:p>
      <w:pPr>
        <w:pStyle w:val="Nagwek21"/>
        <w:numPr>
          <w:ilvl w:val="1"/>
          <w:numId w:val="3"/>
        </w:numPr>
        <w:ind w:firstLine="425" w:left="993"/>
        <w:rPr/>
      </w:pPr>
      <w:bookmarkStart w:id="35" w:name="_Toc98235879"/>
      <w:bookmarkEnd w:id="35"/>
      <w:r>
        <w:rPr/>
        <w:t>Uziemienie stacji transformatorowej</w:t>
      </w:r>
    </w:p>
    <w:p>
      <w:pPr>
        <w:pStyle w:val="Normal"/>
        <w:rPr/>
      </w:pPr>
      <w:r>
        <w:rPr/>
        <w:t xml:space="preserve">Stacja posiada uziemienie ochronne i robocze podłączone do wspólnego uziomu </w:t>
        <w:br/>
        <w:t>na zewnątrz stacji. Główna magistrala uziemiająca wewnątrz stacji składa się z części poziomej wykonanej z płaskownika ocynkowanego Fe/Zn 40x5 wewnątrz stacji.</w:t>
      </w:r>
    </w:p>
    <w:p>
      <w:pPr>
        <w:pStyle w:val="Normal"/>
        <w:ind w:hanging="0"/>
        <w:rPr/>
      </w:pPr>
      <w:r>
        <w:rPr/>
        <w:t>W stacji do głównej magistrali podłączono:</w:t>
      </w:r>
    </w:p>
    <w:p>
      <w:pPr>
        <w:pStyle w:val="ListParagraph"/>
        <w:numPr>
          <w:ilvl w:val="0"/>
          <w:numId w:val="5"/>
        </w:numPr>
        <w:rPr/>
      </w:pPr>
      <w:r>
        <w:rPr/>
        <w:t>Rozdzielnicę SN w dwóch punktach – linką minimum 50 [mm</w:t>
      </w:r>
      <w:r>
        <w:rPr>
          <w:vertAlign w:val="superscript"/>
        </w:rPr>
        <w:t>2</w:t>
      </w:r>
      <w:r>
        <w:rPr/>
        <w:t>] lub bednarką Fe/Zn 40x5 [mm].</w:t>
      </w:r>
    </w:p>
    <w:p>
      <w:pPr>
        <w:pStyle w:val="ListParagraph"/>
        <w:numPr>
          <w:ilvl w:val="0"/>
          <w:numId w:val="5"/>
        </w:numPr>
        <w:rPr/>
      </w:pPr>
      <w:r>
        <w:rPr/>
        <w:t>Rozdzielnicę nN w dwóch punktach -  bednarką Fe/Zn 40x5 [mm].</w:t>
      </w:r>
    </w:p>
    <w:p>
      <w:pPr>
        <w:pStyle w:val="ListParagraph"/>
        <w:numPr>
          <w:ilvl w:val="0"/>
          <w:numId w:val="5"/>
        </w:numPr>
        <w:rPr/>
      </w:pPr>
      <w:r>
        <w:rPr/>
        <w:t>Kadź transformatora – linką minimum 35 mm</w:t>
      </w:r>
      <w:r>
        <w:rPr>
          <w:vertAlign w:val="superscript"/>
        </w:rPr>
        <w:t>2</w:t>
      </w:r>
      <w:r>
        <w:rPr/>
        <w:t>.</w:t>
      </w:r>
    </w:p>
    <w:p>
      <w:pPr>
        <w:pStyle w:val="ListParagraph"/>
        <w:numPr>
          <w:ilvl w:val="0"/>
          <w:numId w:val="5"/>
        </w:numPr>
        <w:rPr/>
      </w:pPr>
      <w:r>
        <w:rPr/>
        <w:t>Dach stacji w dwóch punktach linką minimum 25 mm</w:t>
      </w:r>
      <w:r>
        <w:rPr>
          <w:vertAlign w:val="superscript"/>
        </w:rPr>
        <w:t>2</w:t>
      </w:r>
      <w:r>
        <w:rPr/>
        <w:t>.</w:t>
      </w:r>
    </w:p>
    <w:p>
      <w:pPr>
        <w:pStyle w:val="ListParagraph"/>
        <w:numPr>
          <w:ilvl w:val="0"/>
          <w:numId w:val="5"/>
        </w:numPr>
        <w:rPr/>
      </w:pPr>
      <w:r>
        <w:rPr/>
        <w:t>Futryny, drzwi – linką minimum 25 mm</w:t>
      </w:r>
      <w:r>
        <w:rPr>
          <w:vertAlign w:val="superscript"/>
        </w:rPr>
        <w:t>2</w:t>
      </w:r>
      <w:r>
        <w:rPr/>
        <w:t>.</w:t>
      </w:r>
    </w:p>
    <w:p>
      <w:pPr>
        <w:pStyle w:val="ListParagraph"/>
        <w:numPr>
          <w:ilvl w:val="0"/>
          <w:numId w:val="5"/>
        </w:numPr>
        <w:rPr/>
      </w:pPr>
      <w:r>
        <w:rPr/>
        <w:t>Uziemienie funkcjonalne -  bednarką Fe/Zn 40x5 [mm].</w:t>
      </w:r>
    </w:p>
    <w:p>
      <w:pPr>
        <w:pStyle w:val="Normal"/>
        <w:rPr>
          <w:szCs w:val="24"/>
          <w:lang w:eastAsia="pl-PL"/>
        </w:rPr>
      </w:pPr>
      <w:r>
        <w:rPr>
          <w:szCs w:val="24"/>
          <w:lang w:eastAsia="pl-PL"/>
        </w:rPr>
      </w:r>
    </w:p>
    <w:p>
      <w:pPr>
        <w:pStyle w:val="Normal"/>
        <w:rPr/>
      </w:pPr>
      <w:r>
        <w:rPr>
          <w:szCs w:val="24"/>
          <w:lang w:eastAsia="pl-PL"/>
        </w:rPr>
        <w:t xml:space="preserve">Do głównej magistrali należy dołączyć przez zaciski kontrolne śrubowe wyprowadzenia uziemienia zewnętrznego doprowadzonego do magistrali przez otwory technologiczne umieszczone w fundamencie stacji. Wyprowadzenie N z transformatora należy dołączyć </w:t>
        <w:br/>
        <w:t xml:space="preserve">do osobnego wyprowadzenia uziemienia zewnętrznego. </w:t>
      </w:r>
    </w:p>
    <w:p>
      <w:pPr>
        <w:pStyle w:val="Normal"/>
        <w:ind w:hanging="0"/>
        <w:rPr/>
      </w:pPr>
      <w:r>
        <w:rPr/>
        <w:t xml:space="preserve">Po połączeniu uziomu z instalacją uziemiającą stacji należy wykonać pomiar rezystancji uziemienia. </w:t>
      </w:r>
    </w:p>
    <w:p>
      <w:pPr>
        <w:pStyle w:val="Normal"/>
        <w:ind w:hanging="0"/>
        <w:rPr/>
      </w:pPr>
      <w:r>
        <w:rPr/>
        <w:t>Niniejszy projekt nie obejmuje uziemienia zewnętrznego stacji transformatorowej.</w:t>
      </w:r>
    </w:p>
    <w:p>
      <w:pPr>
        <w:pStyle w:val="Normal"/>
        <w:ind w:hanging="0"/>
        <w:rPr/>
      </w:pPr>
      <w:r>
        <w:rPr/>
      </w:r>
    </w:p>
    <w:p>
      <w:pPr>
        <w:pStyle w:val="Nagwek21"/>
        <w:numPr>
          <w:ilvl w:val="1"/>
          <w:numId w:val="3"/>
        </w:numPr>
        <w:ind w:firstLine="425" w:left="993"/>
        <w:rPr/>
      </w:pPr>
      <w:r>
        <w:rPr/>
        <w:t xml:space="preserve"> </w:t>
      </w:r>
      <w:r>
        <w:rPr/>
        <w:t>Ochrona przed przepięciami</w:t>
      </w:r>
    </w:p>
    <w:p>
      <w:pPr>
        <w:pStyle w:val="Normal"/>
        <w:ind w:hanging="0"/>
        <w:rPr/>
      </w:pPr>
      <w:r>
        <w:rPr/>
        <w:tab/>
        <w:t>Obudowa stacji nie będzie chroniona od bezpośrednich wyładowań atmosferycznych.</w:t>
      </w:r>
    </w:p>
    <w:p>
      <w:pPr>
        <w:pStyle w:val="Normal"/>
        <w:ind w:hanging="0"/>
        <w:rPr/>
      </w:pPr>
      <w:r>
        <w:rPr/>
        <w:t>W przypadku pracy stacji w sieci kablowej ochrona przepięciowa urządzeń elektroenergetycznych. w większości przypadków nie jest wymagana.</w:t>
      </w:r>
    </w:p>
    <w:p>
      <w:pPr>
        <w:pStyle w:val="Normal"/>
        <w:ind w:hanging="0"/>
        <w:rPr/>
      </w:pPr>
      <w:r>
        <w:rPr/>
        <w:t>Ograniczniki przepięć SN należy zabudować w każdym polu liniowym</w:t>
        <w:br/>
        <w:t>połączonym z linią napowietrzną przez kabel o długości mniejszej niż 2 km.</w:t>
        <w:br/>
        <w:t>Dopuszcza się nieinstalowanie ograniczników przepięć w stacjach połączonych</w:t>
        <w:br/>
        <w:t>z linią napowietrzną kablem krótszym niż 2 km ale nie krótszym niż 0,5 km jeżeli</w:t>
        <w:br/>
        <w:t>nie są one stacjami końcowymi.</w:t>
      </w:r>
    </w:p>
    <w:p>
      <w:pPr>
        <w:pStyle w:val="Normal"/>
        <w:ind w:hanging="0"/>
        <w:rPr/>
      </w:pPr>
      <w:r>
        <w:rPr/>
      </w:r>
    </w:p>
    <w:p>
      <w:pPr>
        <w:pStyle w:val="Nagwek21"/>
        <w:numPr>
          <w:ilvl w:val="1"/>
          <w:numId w:val="3"/>
        </w:numPr>
        <w:ind w:firstLine="425" w:left="993"/>
        <w:rPr/>
      </w:pPr>
      <w:bookmarkStart w:id="36" w:name="_Toc98235881"/>
      <w:bookmarkEnd w:id="36"/>
      <w:r>
        <w:rPr/>
        <w:t xml:space="preserve">  </w:t>
      </w:r>
      <w:r>
        <w:rPr/>
        <w:t>Obsługa stacji</w:t>
      </w:r>
    </w:p>
    <w:p>
      <w:pPr>
        <w:pStyle w:val="Normal"/>
        <w:rPr/>
      </w:pPr>
      <w:r>
        <w:rPr/>
        <w:t>Obsługa urządzeń rozdzielni średniego i niskiego napięcia odbywać się będzie wewnątrz stacji ze wspólnego korytarza obsługi. W drzwiach do komory transformatora zastosowano drewniane barierki ochronne.</w:t>
      </w:r>
    </w:p>
    <w:p>
      <w:pPr>
        <w:pStyle w:val="Normal"/>
        <w:rPr/>
      </w:pPr>
      <w:r>
        <w:rPr/>
      </w:r>
    </w:p>
    <w:p>
      <w:pPr>
        <w:pStyle w:val="Nagwek11"/>
        <w:numPr>
          <w:ilvl w:val="0"/>
          <w:numId w:val="3"/>
        </w:numPr>
        <w:rPr/>
      </w:pPr>
      <w:bookmarkStart w:id="37" w:name="_Toc109201588"/>
      <w:bookmarkStart w:id="38" w:name="_Toc98235882"/>
      <w:bookmarkEnd w:id="38"/>
      <w:r>
        <w:rPr>
          <w:rStyle w:val="Strong"/>
          <w:b/>
        </w:rPr>
        <w:t>Uwagi końcowe:</w:t>
      </w:r>
      <w:bookmarkEnd w:id="37"/>
    </w:p>
    <w:p>
      <w:pPr>
        <w:pStyle w:val="Normal"/>
        <w:rPr/>
      </w:pPr>
      <w:r>
        <w:rPr/>
        <w:t>Całość prac wykonać zgodnie z przepisami i normami obowiązującymi w Energetyce. Wszelkie uwagi o zachowaniu się stacji kierować na adres producenta.</w:t>
      </w:r>
    </w:p>
    <w:p>
      <w:pPr>
        <w:pStyle w:val="Normal"/>
        <w:spacing w:lineRule="auto" w:line="360"/>
        <w:rPr/>
      </w:pPr>
      <w:r>
        <w:rPr>
          <w:rFonts w:eastAsia="Symbol" w:cs="Symbol"/>
          <w:b/>
        </w:rPr>
        <w:t>Niniejszy projekt podlega adaptacji do warunków terenowych i technicznych.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BodyText"/>
        <w:jc w:val="center"/>
        <w:rPr>
          <w:lang w:val="en-US"/>
        </w:rPr>
      </w:pPr>
      <w:r>
        <w:rPr>
          <w:b/>
          <w:bCs/>
          <w:lang w:val="en-US"/>
        </w:rPr>
        <w:t xml:space="preserve">EMITER </w:t>
      </w:r>
      <w:r>
        <w:rPr>
          <w:rStyle w:val="czeinternetoweuser"/>
          <w:b/>
          <w:bCs/>
          <w:vanish/>
          <w:lang w:val="en-US"/>
        </w:rPr>
        <w:t>wwww</w:t>
      </w:r>
    </w:p>
    <w:p>
      <w:pPr>
        <w:pStyle w:val="BodyText"/>
        <w:jc w:val="center"/>
        <w:rPr>
          <w:lang w:val="en-US"/>
        </w:rPr>
      </w:pPr>
      <w:hyperlink r:id="rId9">
        <w:r>
          <w:rPr>
            <w:rStyle w:val="Style9"/>
            <w:b/>
            <w:bCs/>
            <w:vanish/>
            <w:color w:themeColor="hyperlink" w:val="0563C1"/>
            <w:u w:val="single"/>
            <w:lang w:val="en-US"/>
          </w:rPr>
          <w:t>w</w:t>
        </w:r>
      </w:hyperlink>
      <w:r>
        <w:rPr>
          <w:rStyle w:val="czeinternetoweuser"/>
          <w:b/>
          <w:bCs/>
          <w:lang w:val="en-US"/>
        </w:rPr>
        <w:t>www.emiter.com</w:t>
      </w:r>
      <w:r>
        <w:rPr>
          <w:b/>
          <w:bCs/>
          <w:lang w:val="en-US"/>
        </w:rPr>
        <w:t xml:space="preserve">  ,  e-mail:   </w:t>
      </w:r>
      <w:hyperlink r:id="rId10">
        <w:r>
          <w:rPr>
            <w:rStyle w:val="Style9"/>
            <w:b/>
            <w:bCs/>
            <w:vanish/>
            <w:color w:themeColor="hyperlink" w:val="0563C1"/>
            <w:u w:val="single"/>
            <w:lang w:val="en-US"/>
          </w:rPr>
          <w:t>kontenerowe@emiter.com</w:t>
        </w:r>
      </w:hyperlink>
    </w:p>
    <w:p>
      <w:pPr>
        <w:pStyle w:val="Nagwek11"/>
        <w:numPr>
          <w:ilvl w:val="0"/>
          <w:numId w:val="3"/>
        </w:numPr>
        <w:rPr/>
      </w:pPr>
      <w:bookmarkStart w:id="39" w:name="_Toc109201589"/>
      <w:bookmarkStart w:id="40" w:name="_Toc98235883"/>
      <w:bookmarkEnd w:id="40"/>
      <w:r>
        <w:rPr/>
        <w:t>Normy i inne dokumenty związane</w:t>
      </w:r>
      <w:bookmarkEnd w:id="39"/>
    </w:p>
    <w:p>
      <w:pPr>
        <w:pStyle w:val="ListParagraph"/>
        <w:numPr>
          <w:ilvl w:val="0"/>
          <w:numId w:val="4"/>
        </w:numPr>
        <w:spacing w:before="0" w:after="0"/>
        <w:contextualSpacing/>
        <w:rPr/>
      </w:pPr>
      <w:r>
        <w:rPr/>
        <w:t>PN-EN 1992-1-1:2008. Konstrukcje betonowe, żelbetowe i sprężone - Obliczenia statyczne i projektowanie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/>
      </w:pPr>
      <w:bookmarkStart w:id="41" w:name="_Ref531700092"/>
      <w:bookmarkEnd w:id="41"/>
      <w:r>
        <w:rPr/>
        <w:t>PN-EN 1997-1:2008 - wersja polska. Grunty budowlane - Posadowienie bezpośrednie budowli - Obliczenia statyczne i projektowanie.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/>
      </w:pPr>
      <w:bookmarkStart w:id="42" w:name="_Ref531765692"/>
      <w:bookmarkEnd w:id="42"/>
      <w:r>
        <w:rPr/>
        <w:t>Rozporządzenie Ministra Gospodarki z dnia 20 września 2000 r. w sprawie warunków technicznych, jakim powinny odpowiadać bazy i stacje paliw płynnych, rurociągi dalekosiężne do transportu ropy naftowej i produktów naftowych i ich usytuowanie (Dz. U. Nr 98 póz. 1067 z dnia 17 listopada 2000 r.)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/>
      </w:pPr>
      <w:r>
        <w:rPr/>
        <w:t>Rozporządzenie Ministra Gospodarki z dnia 20 grudnia 2002 r. zmieniające rozporządzenie w sprawie warunków technicznych, jakim powinny odpowiadać bazy i stacje paliw płynnych, rurociągi dalekosiężne do transportu ropy naftowej i produktów naftowych i ich usytuowanie (Dz. U. Nr I poz.8 z dnia 8 stycznia 2003 r.)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/>
      </w:pPr>
      <w:r>
        <w:rPr/>
        <w:t>PN-B-02852:2001. Ochrona przeciwpożarowa budynków. Obliczanie gęstości obciążenia ogniowego oraz wyznaczanie względnego czasu trwania pożaru\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/>
      </w:pPr>
      <w:r>
        <w:rPr/>
        <w:t>Rozporządzenie Ministra Infrastruktury z dnia 12 kwietnia 2002 r. w sprawie warunków technicznych, jakim powinny odpowiadać budynki i ich usytuowanie. (Dz. U. Nr 75 póz. 690 z dnia 15 czerwca 2002 r.)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/>
      </w:pPr>
      <w:r>
        <w:rPr/>
        <w:t>Rozporządzenie Ministra Infrastruktury z dnia 13 lutego 2003 r. zmieniające rozporządzenie w sprawie warunków technicznych, jakim powinny odpowiadać budynki i ich usytuowanie. (Dz. U. Nr 33 poz.270 z dnia 26 lutego 2003 r.)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/>
      </w:pPr>
      <w:r>
        <w:rPr/>
        <w:t>Rozporządzenie Ministra Infrastruktury z dnia 7 kwietnia 2004 r. zmieniające rozporządzenie w sprawie warunków technicznych, jakim powinny odpowiadać budynki i ich usytuowanie. (Dz. U. Nr 109 poz.1156 z dnia 12 maja 2004 r.)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/>
      </w:pPr>
      <w:r>
        <w:rPr/>
        <w:t>PN-EN 206:2014-04 Beton. Część 1: Wymagania, właściwości, produkcja i zgodność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/>
      </w:pPr>
      <w:r>
        <w:rPr/>
        <w:t>PN-EN 1990:2004 - Eurokod -- Podstawy projektowania konstrukcji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/>
      </w:pPr>
      <w:r>
        <w:rPr/>
        <w:t>PN-EN 1991-1-3:2005 - Eurokod 1 -- Oddziaływania na konstrukcje -- Część 1-3: Oddziaływania ogólne -- Obciążenie śniegiem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/>
      </w:pPr>
      <w:r>
        <w:rPr/>
        <w:t>PN-EN 1991-1-4:2008 - Eurokod 1: Oddziaływania na konstrukcje -- Część 1-4: Oddziaływania ogólne -- Oddziaływania wiatru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/>
      </w:pPr>
      <w:r>
        <w:rPr/>
        <w:t>PN-EN 1991-1-1:2004 - Eurokod 1: Oddziaływania na konstrukcje -- Część 1-1: Oddziaływania ogólne -- Ciężar objętościowy, ciężar własny, obciążenia użytkowe w budynkach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/>
      </w:pPr>
      <w:r>
        <w:rPr/>
        <w:t>PN-EN 62271-202:2010 - Wysokonapięciowa aparatura rozdzielcza i sterownicza -- Część 202: Stacje transformatorowe prefabrykowane wysokiego napięcia na niskie napięcie</w:t>
      </w:r>
    </w:p>
    <w:p>
      <w:pPr>
        <w:pStyle w:val="ListParagraph"/>
        <w:numPr>
          <w:ilvl w:val="0"/>
          <w:numId w:val="4"/>
        </w:numPr>
        <w:spacing w:lineRule="auto" w:line="240" w:before="0" w:after="0"/>
        <w:contextualSpacing/>
        <w:rPr/>
      </w:pPr>
      <w:r>
        <w:rPr/>
        <w:t>PN-EN 62271-1: 2009 „Wysokonapięciowa aparatura rozdzielcza i sterownicza.</w:t>
      </w:r>
    </w:p>
    <w:p>
      <w:pPr>
        <w:pStyle w:val="Normal"/>
        <w:spacing w:lineRule="auto" w:line="240" w:before="0" w:after="0"/>
        <w:ind w:firstLine="348" w:left="360"/>
        <w:rPr/>
      </w:pPr>
      <w:r>
        <w:rPr/>
        <w:t>Część 1: Postanowienia wspólne”;</w:t>
      </w:r>
    </w:p>
    <w:p>
      <w:pPr>
        <w:pStyle w:val="ListParagraph"/>
        <w:numPr>
          <w:ilvl w:val="0"/>
          <w:numId w:val="4"/>
        </w:numPr>
        <w:spacing w:lineRule="auto" w:line="240" w:before="0" w:after="0"/>
        <w:contextualSpacing/>
        <w:rPr/>
      </w:pPr>
      <w:r>
        <w:rPr/>
        <w:t>PN-EN 62271-200:2012 „Wysokonapięciowa aparatura rozdzielcza i sterownicza.</w:t>
      </w:r>
    </w:p>
    <w:p>
      <w:pPr>
        <w:pStyle w:val="Normal"/>
        <w:spacing w:lineRule="auto" w:line="240" w:before="0" w:after="0"/>
        <w:ind w:firstLine="348" w:left="360"/>
        <w:rPr/>
      </w:pPr>
      <w:r>
        <w:rPr/>
        <w:t>Część 200: Rozdzielnice prądu przemiennego w osłonach metalowych na napięcie</w:t>
      </w:r>
    </w:p>
    <w:p>
      <w:pPr>
        <w:pStyle w:val="Normal"/>
        <w:spacing w:lineRule="auto" w:line="240" w:before="0" w:after="0"/>
        <w:ind w:firstLine="708"/>
        <w:rPr/>
      </w:pPr>
      <w:r>
        <w:rPr/>
        <w:t>znamionowe powyżej 1kV do 52kV włącznie”;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/>
      </w:pPr>
      <w:r>
        <w:rPr/>
        <w:t>PN-EN 62271-202:2014-12„Wysokonapięciowa aparatura rozdzielcza i sterownicza -- Część 202: Stacje transformatorowe prefabrykowane wysokiego napięcia na niskie napięcie”;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/>
      </w:pPr>
      <w:r>
        <w:rPr/>
        <w:t>PN-EN 60529:2003  „ Stopnie ochrony zapewnianej przez obudowy (kod IP) ”;</w:t>
      </w:r>
    </w:p>
    <w:p>
      <w:pPr>
        <w:pStyle w:val="Nagwek11"/>
        <w:numPr>
          <w:ilvl w:val="0"/>
          <w:numId w:val="3"/>
        </w:numPr>
        <w:rPr/>
      </w:pPr>
      <w:bookmarkStart w:id="43" w:name="_Toc109201590"/>
      <w:bookmarkStart w:id="44" w:name="_Toc98235884"/>
      <w:bookmarkEnd w:id="44"/>
      <w:r>
        <w:rPr/>
        <w:t>Spis rysunków:</w:t>
      </w:r>
      <w:bookmarkEnd w:id="43"/>
    </w:p>
    <w:p>
      <w:pPr>
        <w:pStyle w:val="Nagwek31"/>
        <w:keepLines w:val="false"/>
        <w:numPr>
          <w:ilvl w:val="0"/>
          <w:numId w:val="0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1080" w:left="1080"/>
        <w:jc w:val="left"/>
        <w:rPr>
          <w:rStyle w:val="Strong"/>
          <w:b/>
          <w:bCs w:val="false"/>
        </w:rPr>
      </w:pPr>
      <w:r>
        <w:rPr>
          <w:b/>
          <w:bCs w:val="false"/>
        </w:rPr>
      </w:r>
    </w:p>
    <w:p>
      <w:pPr>
        <w:pStyle w:val="Nagwek31"/>
        <w:keepLines w:val="false"/>
        <w:numPr>
          <w:ilvl w:val="2"/>
          <w:numId w:val="7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283" w:left="567"/>
        <w:jc w:val="left"/>
        <w:rPr/>
      </w:pPr>
      <w:bookmarkStart w:id="45" w:name="_Toc109201591"/>
      <w:bookmarkStart w:id="46" w:name="_Toc98235885"/>
      <w:bookmarkStart w:id="47" w:name="_Ref63489894"/>
      <w:bookmarkEnd w:id="46"/>
      <w:bookmarkEnd w:id="47"/>
      <w:r>
        <w:rPr>
          <w:rStyle w:val="Strong"/>
          <w:rFonts w:eastAsia="Symbol" w:cs="Symbol"/>
          <w:b w:val="false"/>
          <w:bCs w:val="false"/>
        </w:rPr>
        <w:t>Widok z góry, rozmieszczenie urządzeń</w:t>
      </w:r>
      <w:bookmarkEnd w:id="45"/>
      <w:r>
        <w:rPr>
          <w:rStyle w:val="Strong"/>
          <w:rFonts w:eastAsia="Symbol" w:cs="Symbol"/>
          <w:b w:val="false"/>
          <w:bCs w:val="false"/>
        </w:rPr>
        <w:t>.</w:t>
      </w:r>
    </w:p>
    <w:p>
      <w:pPr>
        <w:pStyle w:val="Nagwek31"/>
        <w:numPr>
          <w:ilvl w:val="2"/>
          <w:numId w:val="7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283" w:left="567"/>
        <w:jc w:val="left"/>
        <w:rPr/>
      </w:pPr>
      <w:bookmarkStart w:id="48" w:name="_Toc109201592"/>
      <w:r>
        <w:rPr>
          <w:rStyle w:val="Strong"/>
          <w:rFonts w:eastAsia="Symbol" w:cs="Symbol"/>
          <w:b w:val="false"/>
          <w:bCs w:val="false"/>
        </w:rPr>
        <w:t>Widoki elewacji "A", "B", "C", "D"</w:t>
      </w:r>
      <w:bookmarkEnd w:id="48"/>
      <w:r>
        <w:rPr>
          <w:rStyle w:val="Strong"/>
          <w:rFonts w:eastAsia="Symbol" w:cs="Symbol"/>
          <w:b w:val="false"/>
          <w:bCs w:val="false"/>
        </w:rPr>
        <w:t>.</w:t>
      </w:r>
    </w:p>
    <w:p>
      <w:pPr>
        <w:pStyle w:val="Nagwek31"/>
        <w:numPr>
          <w:ilvl w:val="2"/>
          <w:numId w:val="7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1531" w:left="1814"/>
        <w:jc w:val="left"/>
        <w:rPr/>
      </w:pPr>
      <w:bookmarkStart w:id="49" w:name="_Toc109201594"/>
      <w:bookmarkEnd w:id="49"/>
      <w:r>
        <w:rPr>
          <w:rStyle w:val="Strong"/>
          <w:rFonts w:eastAsia="Symbol" w:cs="Symbol"/>
          <w:b w:val="false"/>
          <w:bCs w:val="false"/>
        </w:rPr>
        <w:t>Piwnica kablowa.</w:t>
      </w:r>
    </w:p>
    <w:p>
      <w:pPr>
        <w:pStyle w:val="Nagwek31"/>
        <w:numPr>
          <w:ilvl w:val="2"/>
          <w:numId w:val="7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1531" w:left="1814"/>
        <w:jc w:val="left"/>
        <w:rPr/>
      </w:pPr>
      <w:bookmarkStart w:id="50" w:name="_Toc109201594"/>
      <w:bookmarkStart w:id="51" w:name="_Toc109201595"/>
      <w:bookmarkEnd w:id="50"/>
      <w:r>
        <w:rPr>
          <w:rStyle w:val="Strong"/>
          <w:rFonts w:eastAsia="Symbol" w:cs="Symbol"/>
          <w:b w:val="false"/>
          <w:bCs w:val="false"/>
        </w:rPr>
        <w:t xml:space="preserve"> </w:t>
      </w:r>
      <w:bookmarkStart w:id="52" w:name="_Toc109201597"/>
      <w:bookmarkEnd w:id="51"/>
      <w:r>
        <w:rPr>
          <w:rStyle w:val="Strong"/>
          <w:rFonts w:eastAsia="Symbol" w:cs="Symbol"/>
          <w:b w:val="false"/>
          <w:bCs w:val="false"/>
        </w:rPr>
        <w:t>Dach</w:t>
      </w:r>
      <w:bookmarkEnd w:id="52"/>
      <w:r>
        <w:rPr>
          <w:rStyle w:val="Strong"/>
          <w:rFonts w:eastAsia="Symbol" w:cs="Symbol"/>
          <w:b w:val="false"/>
          <w:bCs w:val="false"/>
        </w:rPr>
        <w:t>.</w:t>
      </w:r>
    </w:p>
    <w:p>
      <w:pPr>
        <w:pStyle w:val="Nagwek31"/>
        <w:numPr>
          <w:ilvl w:val="2"/>
          <w:numId w:val="7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1531" w:left="1814"/>
        <w:jc w:val="left"/>
        <w:rPr/>
      </w:pPr>
      <w:r>
        <w:rPr>
          <w:rStyle w:val="Strong"/>
          <w:rFonts w:eastAsia="Symbol" w:cs="Symbol"/>
          <w:b w:val="false"/>
          <w:bCs w:val="false"/>
        </w:rPr>
        <w:t>Posadowienie stacji w zależności od rodzaju gruntu.</w:t>
      </w:r>
    </w:p>
    <w:p>
      <w:pPr>
        <w:pStyle w:val="Nagwek31"/>
        <w:numPr>
          <w:ilvl w:val="2"/>
          <w:numId w:val="7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1531" w:left="1814"/>
        <w:jc w:val="left"/>
        <w:rPr/>
      </w:pPr>
      <w:r>
        <w:rPr>
          <w:rStyle w:val="Strong"/>
          <w:rFonts w:eastAsia="Symbol" w:cs="Symbol"/>
          <w:b w:val="false"/>
          <w:bCs w:val="false"/>
        </w:rPr>
        <w:t>Posadowienie stacji.</w:t>
      </w:r>
    </w:p>
    <w:p>
      <w:pPr>
        <w:pStyle w:val="Nagwek31"/>
        <w:numPr>
          <w:ilvl w:val="0"/>
          <w:numId w:val="0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0" w:left="1080"/>
        <w:jc w:val="left"/>
        <w:rPr>
          <w:rStyle w:val="Strong"/>
          <w:rFonts w:eastAsia="Symbol" w:cs="Symbol"/>
          <w:b w:val="false"/>
          <w:bCs w:val="false"/>
        </w:rPr>
      </w:pPr>
      <w:r>
        <w:rPr>
          <w:rFonts w:eastAsia="Symbol" w:cs="Symbol"/>
          <w:b w:val="false"/>
          <w:bCs w:val="false"/>
        </w:rPr>
      </w:r>
    </w:p>
    <w:p>
      <w:pPr>
        <w:pStyle w:val="Nagwek31"/>
        <w:numPr>
          <w:ilvl w:val="2"/>
          <w:numId w:val="2"/>
        </w:numPr>
        <w:ind w:hanging="850" w:left="1077"/>
        <w:rPr/>
      </w:pPr>
      <w:bookmarkStart w:id="53" w:name="_Toc109201598"/>
      <w:r>
        <w:rPr>
          <w:rStyle w:val="Strong"/>
          <w:b w:val="false"/>
          <w:bCs w:val="false"/>
        </w:rPr>
        <w:t>Schemat elektryczny</w:t>
      </w:r>
      <w:bookmarkEnd w:id="53"/>
      <w:r>
        <w:rPr>
          <w:rStyle w:val="Strong"/>
          <w:b w:val="false"/>
          <w:bCs w:val="false"/>
        </w:rPr>
        <w:t>.</w:t>
      </w:r>
    </w:p>
    <w:p>
      <w:pPr>
        <w:pStyle w:val="Nagwek31"/>
        <w:numPr>
          <w:ilvl w:val="2"/>
          <w:numId w:val="2"/>
        </w:numPr>
        <w:ind w:hanging="850" w:left="1077"/>
        <w:rPr>
          <w:rStyle w:val="Strong"/>
          <w:b/>
          <w:bCs w:val="false"/>
        </w:rPr>
      </w:pPr>
      <w:bookmarkStart w:id="54" w:name="_Toc109201599"/>
      <w:r>
        <w:rPr>
          <w:rStyle w:val="Strong"/>
          <w:b w:val="false"/>
          <w:bCs w:val="false"/>
        </w:rPr>
        <w:t>Rozdzielnica SN</w:t>
      </w:r>
      <w:bookmarkEnd w:id="54"/>
      <w:r>
        <w:rPr>
          <w:rStyle w:val="Strong"/>
          <w:b w:val="false"/>
          <w:bCs w:val="false"/>
        </w:rPr>
        <w:t>.</w:t>
      </w:r>
    </w:p>
    <w:p>
      <w:pPr>
        <w:pStyle w:val="Nagwek31"/>
        <w:numPr>
          <w:ilvl w:val="2"/>
          <w:numId w:val="2"/>
        </w:numPr>
        <w:ind w:hanging="850" w:left="1077"/>
        <w:rPr/>
      </w:pPr>
      <w:r>
        <w:rPr>
          <w:rStyle w:val="Strong"/>
          <w:b w:val="false"/>
          <w:bCs w:val="false"/>
        </w:rPr>
        <w:t>Rozdzielnica nN.</w:t>
      </w:r>
    </w:p>
    <w:p>
      <w:pPr>
        <w:pStyle w:val="Nagwek31"/>
        <w:numPr>
          <w:ilvl w:val="0"/>
          <w:numId w:val="2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firstLine="170" w:left="283"/>
        <w:jc w:val="left"/>
        <w:rPr/>
      </w:pPr>
      <w:r>
        <w:rPr/>
      </w:r>
    </w:p>
    <w:p>
      <w:pPr>
        <w:pStyle w:val="Nagwek21"/>
        <w:numPr>
          <w:ilvl w:val="0"/>
          <w:numId w:val="0"/>
        </w:numPr>
        <w:spacing w:before="120" w:after="120"/>
        <w:ind w:hanging="0" w:left="1418"/>
        <w:rPr/>
      </w:pPr>
      <w:r>
        <w:rPr/>
      </w:r>
    </w:p>
    <w:sectPr>
      <w:type w:val="continuous"/>
      <w:pgSz w:w="11906" w:h="16838"/>
      <w:pgMar w:left="1418" w:right="1134" w:gutter="0" w:header="709" w:top="1247" w:footer="794" w:bottom="1304"/>
      <w:formProt w:val="false"/>
      <w:titlePg/>
      <w:textDirection w:val="lrTb"/>
      <w:docGrid w:type="default" w:linePitch="360" w:charSpace="429496094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Segoe UI">
    <w:charset w:val="ee"/>
    <w:family w:val="swiss"/>
    <w:pitch w:val="variable"/>
  </w:font>
  <w:font w:name="Verdana">
    <w:charset w:val="ee"/>
    <w:family w:val="swiss"/>
    <w:pitch w:val="variable"/>
  </w:font>
  <w:font w:name="Calibri Light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Calibri">
    <w:charset w:val="ee"/>
    <w:family w:val="swiss"/>
    <w:pitch w:val="variable"/>
  </w:font>
  <w:font w:name="Arial">
    <w:charset w:val="ee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  <w:font w:name="OpenSymbol">
    <w:altName w:val="Arial Unicode MS"/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opka1"/>
      <w:tabs>
        <w:tab w:val="center" w:pos="4536" w:leader="none"/>
        <w:tab w:val="center" w:pos="5760" w:leader="none"/>
        <w:tab w:val="right" w:pos="9072" w:leader="none"/>
      </w:tabs>
      <w:ind w:hanging="0"/>
      <w:rPr/>
    </w:pPr>
    <w:r>
      <w:rPr>
        <w:rStyle w:val="PageNumber"/>
        <w:rFonts w:cs="Arial" w:ascii="Arial" w:hAnsi="Arial"/>
        <w:sz w:val="22"/>
        <w:u w:val="single"/>
      </w:rPr>
      <w:t xml:space="preserve">Projekt do adaptacji stacji </w:t>
    </w:r>
    <w:r>
      <w:rPr>
        <w:rFonts w:cs="Arial" w:ascii="Arial" w:hAnsi="Arial"/>
        <w:sz w:val="22"/>
        <w:u w:val="single"/>
      </w:rPr>
      <w:t>ETSI 25-48 1000 kVA</w:t>
    </w:r>
    <w:r>
      <w:rPr>
        <w:rStyle w:val="PageNumber"/>
        <w:rFonts w:cs="Arial" w:ascii="Arial" w:hAnsi="Arial"/>
        <w:sz w:val="22"/>
        <w:u w:val="single"/>
      </w:rPr>
      <w:tab/>
      <w:tab/>
    </w: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13</w:t>
    </w:r>
    <w:r>
      <w:rPr/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keepNext w:val="true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9494" w:type="dxa"/>
      <w:jc w:val="left"/>
      <w:tblInd w:w="-40" w:type="dxa"/>
      <w:tblLayout w:type="fixed"/>
      <w:tblCellMar>
        <w:top w:w="0" w:type="dxa"/>
        <w:left w:w="68" w:type="dxa"/>
        <w:bottom w:w="0" w:type="dxa"/>
        <w:right w:w="108" w:type="dxa"/>
      </w:tblCellMar>
      <w:tblLook w:firstRow="1" w:noVBand="0" w:lastRow="1" w:firstColumn="1" w:lastColumn="1" w:noHBand="0" w:val="01e0"/>
    </w:tblPr>
    <w:tblGrid>
      <w:gridCol w:w="3227"/>
      <w:gridCol w:w="2833"/>
      <w:gridCol w:w="3434"/>
    </w:tblGrid>
    <w:tr>
      <w:trPr/>
      <w:tc>
        <w:tcPr>
          <w:tcW w:w="3227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shd w:color="auto" w:fill="auto" w:val="clear"/>
        </w:tcPr>
        <w:p>
          <w:pPr>
            <w:pStyle w:val="Normal"/>
            <w:tabs>
              <w:tab w:val="clear" w:pos="708"/>
              <w:tab w:val="left" w:pos="5529" w:leader="none"/>
            </w:tabs>
            <w:spacing w:before="120" w:after="120"/>
            <w:ind w:firstLine="709" w:left="142" w:right="176"/>
            <w:rPr/>
          </w:pPr>
          <w:hyperlink r:id="rId1">
            <w:r>
              <w:rPr>
                <w:rStyle w:val="Hyperlink"/>
              </w:rPr>
              <w:drawing>
                <wp:inline distT="0" distB="0" distL="0" distR="0">
                  <wp:extent cx="1057910" cy="343535"/>
                  <wp:effectExtent l="0" t="0" r="0" b="0"/>
                  <wp:docPr id="2" name="Obraz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raz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910" cy="3435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hyperlink>
        </w:p>
      </w:tc>
      <w:tc>
        <w:tcPr>
          <w:tcW w:w="2833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shd w:color="auto" w:fill="auto" w:val="clear"/>
          <w:vAlign w:val="center"/>
        </w:tcPr>
        <w:p>
          <w:pPr>
            <w:pStyle w:val="Normal"/>
            <w:spacing w:before="120" w:after="120"/>
            <w:ind w:hanging="0"/>
            <w:jc w:val="center"/>
            <w:rPr>
              <w:rFonts w:ascii="Arial" w:hAnsi="Arial" w:cs="Arial"/>
            </w:rPr>
          </w:pPr>
          <w:r>
            <w:rPr>
              <w:rFonts w:cs="Arial" w:ascii="Arial" w:hAnsi="Arial"/>
            </w:rPr>
          </w:r>
        </w:p>
      </w:tc>
      <w:tc>
        <w:tcPr>
          <w:tcW w:w="3434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shd w:color="auto" w:fill="auto" w:val="clear"/>
        </w:tcPr>
        <w:p>
          <w:pPr>
            <w:pStyle w:val="Nagwek1"/>
            <w:spacing w:lineRule="auto" w:line="288" w:before="40" w:after="0"/>
            <w:ind w:hanging="0"/>
            <w:rPr/>
          </w:pPr>
          <w:r>
            <w:rPr>
              <w:rFonts w:cs="Arial" w:ascii="Arial" w:hAnsi="Arial"/>
            </w:rPr>
            <w:t xml:space="preserve">      </w:t>
          </w:r>
          <w:r>
            <w:rPr>
              <w:rFonts w:cs="Arial" w:ascii="Arial" w:hAnsi="Arial"/>
            </w:rPr>
            <w:t>ETSI 25-48 1000 kVA</w:t>
          </w:r>
        </w:p>
        <w:p>
          <w:pPr>
            <w:pStyle w:val="Nagwek1"/>
            <w:spacing w:lineRule="auto" w:line="288" w:before="40" w:after="0"/>
            <w:ind w:firstLine="709" w:left="318"/>
            <w:rPr>
              <w:rFonts w:ascii="Arial" w:hAnsi="Arial" w:cs="Arial"/>
            </w:rPr>
          </w:pPr>
          <w:r>
            <w:rPr>
              <w:rFonts w:cs="Arial" w:ascii="Arial" w:hAnsi="Arial"/>
            </w:rPr>
          </w:r>
        </w:p>
      </w:tc>
    </w:tr>
  </w:tbl>
  <w:p>
    <w:pPr>
      <w:pStyle w:val="Nagwek1"/>
      <w:rPr>
        <w:sz w:val="16"/>
        <w:szCs w:val="16"/>
      </w:rPr>
    </w:pPr>
    <w:r>
      <w:rPr>
        <w:sz w:val="16"/>
        <w:szCs w:val="16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keepNext w:val="true"/>
      <w:spacing w:before="240" w:after="120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Nagwek11"/>
      <w:numFmt w:val="none"/>
      <w:suff w:val="nothing"/>
      <w:lvlText w:val=" "/>
      <w:lvlJc w:val="left"/>
      <w:pPr>
        <w:tabs>
          <w:tab w:val="num" w:pos="0"/>
        </w:tabs>
        <w:ind w:left="340" w:hanging="34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pStyle w:val="Nagwek31"/>
      <w:numFmt w:val="decimal"/>
      <w:lvlText w:val=" Rys. nr E%3."/>
      <w:lvlJc w:val="left"/>
      <w:pPr>
        <w:tabs>
          <w:tab w:val="num" w:pos="1803"/>
        </w:tabs>
        <w:ind w:left="1080" w:hanging="108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 "/>
      <w:lvlJc w:val="left"/>
      <w:pPr>
        <w:tabs>
          <w:tab w:val="num" w:pos="0"/>
        </w:tabs>
        <w:ind w:left="340" w:hanging="34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decimal"/>
      <w:lvlText w:val=" Rys. nr E%3."/>
      <w:lvlJc w:val="left"/>
      <w:pPr>
        <w:tabs>
          <w:tab w:val="num" w:pos="1803"/>
        </w:tabs>
        <w:ind w:left="1080" w:hanging="1080"/>
      </w:pPr>
      <w:rPr/>
    </w:lvl>
    <w:lvl w:ilvl="3">
      <w:start w:val="1"/>
      <w:numFmt w:val="decimal"/>
      <w:lvlText w:val="Rys. nr E%3.%4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712" w:firstLine="415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1080"/>
      </w:pPr>
      <w:rPr/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/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/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/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lvl w:ilvl="0">
      <w:start w:val="3"/>
      <w:numFmt w:val="bullet"/>
      <w:lvlText w:val=""/>
      <w:lvlJc w:val="left"/>
      <w:pPr>
        <w:tabs>
          <w:tab w:val="num" w:pos="0"/>
        </w:tabs>
        <w:ind w:left="5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9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7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4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1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8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5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300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decimal"/>
      <w:lvlText w:val="Rys. nr B%1"/>
      <w:lvlJc w:val="left"/>
      <w:pPr>
        <w:tabs>
          <w:tab w:val="num" w:pos="643"/>
        </w:tabs>
        <w:ind w:left="643" w:hanging="283"/>
      </w:pPr>
      <w:rPr>
        <w:b w:val="false"/>
        <w:rFonts w:eastAsia="Symbol" w:cs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Rys. nr B%3."/>
      <w:lvlJc w:val="left"/>
      <w:pPr>
        <w:tabs>
          <w:tab w:val="num" w:pos="1800"/>
        </w:tabs>
        <w:ind w:left="1800" w:hanging="360"/>
      </w:pPr>
      <w:rPr/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/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  <w:rPr/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  <w:rPr/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/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  <w:rPr/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  <w:rPr/>
    </w:lvl>
  </w:abstractNum>
  <w:abstractNum w:abstractNumId="8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94f7c"/>
    <w:pPr>
      <w:widowControl/>
      <w:bidi w:val="0"/>
      <w:spacing w:lineRule="auto" w:line="259" w:before="120" w:after="120"/>
      <w:ind w:firstLine="709"/>
      <w:jc w:val="both"/>
    </w:pPr>
    <w:rPr>
      <w:rFonts w:ascii="Times New Roman" w:hAnsi="Times New Roman" w:eastAsia="Calibri" w:cs=""/>
      <w:color w:val="00000A"/>
      <w:kern w:val="0"/>
      <w:sz w:val="24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link w:val="Nagwek11"/>
    <w:uiPriority w:val="9"/>
    <w:qFormat/>
    <w:rsid w:val="00ad27af"/>
    <w:rPr>
      <w:rFonts w:ascii="Times New Roman" w:hAnsi="Times New Roman" w:eastAsia="" w:cs="" w:cstheme="majorBidi" w:eastAsiaTheme="majorEastAsia"/>
      <w:b/>
      <w:sz w:val="32"/>
      <w:szCs w:val="32"/>
    </w:rPr>
  </w:style>
  <w:style w:type="character" w:styleId="Nagwek2Znak" w:customStyle="1">
    <w:name w:val="Nagłówek 2 Znak"/>
    <w:basedOn w:val="DefaultParagraphFont"/>
    <w:link w:val="Nagwek21"/>
    <w:uiPriority w:val="9"/>
    <w:qFormat/>
    <w:rsid w:val="00480134"/>
    <w:rPr>
      <w:rFonts w:ascii="Times New Roman" w:hAnsi="Times New Roman" w:eastAsia="" w:cs="" w:cstheme="majorBidi" w:eastAsiaTheme="majorEastAsia"/>
      <w:b/>
      <w:color w:val="00000A"/>
      <w:sz w:val="28"/>
      <w:szCs w:val="26"/>
    </w:rPr>
  </w:style>
  <w:style w:type="character" w:styleId="TytuZnak" w:customStyle="1">
    <w:name w:val="Tytuł Znak"/>
    <w:basedOn w:val="DefaultParagraphFont"/>
    <w:uiPriority w:val="10"/>
    <w:qFormat/>
    <w:rsid w:val="00b37828"/>
    <w:rPr>
      <w:rFonts w:ascii="Times New Roman" w:hAnsi="Times New Roman" w:eastAsia="" w:cs="" w:cstheme="majorBidi" w:eastAsiaTheme="majorEastAsia"/>
      <w:spacing w:val="-10"/>
      <w:sz w:val="24"/>
      <w:szCs w:val="56"/>
    </w:rPr>
  </w:style>
  <w:style w:type="character" w:styleId="NagwekZnak" w:customStyle="1">
    <w:name w:val="Nagłówek Znak"/>
    <w:basedOn w:val="DefaultParagraphFont"/>
    <w:uiPriority w:val="99"/>
    <w:qFormat/>
    <w:rsid w:val="00b37828"/>
    <w:rPr>
      <w:rFonts w:ascii="Times New Roman" w:hAnsi="Times New Roman"/>
      <w:sz w:val="28"/>
    </w:rPr>
  </w:style>
  <w:style w:type="character" w:styleId="StopkaZnak" w:customStyle="1">
    <w:name w:val="Stopka Znak"/>
    <w:basedOn w:val="DefaultParagraphFont"/>
    <w:link w:val="Stopka1"/>
    <w:uiPriority w:val="99"/>
    <w:qFormat/>
    <w:rsid w:val="00b37828"/>
    <w:rPr>
      <w:rFonts w:ascii="Times New Roman" w:hAnsi="Times New Roman"/>
      <w:sz w:val="28"/>
    </w:rPr>
  </w:style>
  <w:style w:type="character" w:styleId="Nagwek3Znak" w:customStyle="1">
    <w:name w:val="Nagłówek 3 Znak"/>
    <w:basedOn w:val="DefaultParagraphFont"/>
    <w:link w:val="Nagwek31"/>
    <w:uiPriority w:val="9"/>
    <w:qFormat/>
    <w:rsid w:val="00922f7c"/>
    <w:rPr>
      <w:rFonts w:ascii="Times New Roman" w:hAnsi="Times New Roman" w:eastAsia="" w:cs="" w:cstheme="majorBidi" w:eastAsiaTheme="majorEastAsia"/>
      <w:b/>
      <w:sz w:val="28"/>
      <w:szCs w:val="24"/>
    </w:rPr>
  </w:style>
  <w:style w:type="character" w:styleId="czeinternetoweuser" w:customStyle="1">
    <w:name w:val="Łącze internetowe (user)"/>
    <w:basedOn w:val="DefaultParagraphFont"/>
    <w:uiPriority w:val="99"/>
    <w:unhideWhenUsed/>
    <w:qFormat/>
    <w:rsid w:val="007a5d22"/>
    <w:rPr>
      <w:color w:themeColor="hyperlink" w:val="0563C1"/>
      <w:u w:val="single"/>
    </w:rPr>
  </w:style>
  <w:style w:type="character" w:styleId="Tekstpodstawowy2Znak" w:customStyle="1">
    <w:name w:val="Tekst podstawowy 2 Znak"/>
    <w:basedOn w:val="DefaultParagraphFont"/>
    <w:link w:val="BodyText2"/>
    <w:uiPriority w:val="99"/>
    <w:qFormat/>
    <w:rsid w:val="006322a9"/>
    <w:rPr>
      <w:rFonts w:ascii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qFormat/>
    <w:rsid w:val="00235859"/>
    <w:rPr>
      <w:color w:val="808080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6635e9"/>
    <w:rPr>
      <w:rFonts w:ascii="Segoe UI" w:hAnsi="Segoe UI" w:cs="Segoe UI"/>
      <w:sz w:val="18"/>
      <w:szCs w:val="18"/>
    </w:rPr>
  </w:style>
  <w:style w:type="character" w:styleId="Nierozpoznanawzmianka1" w:customStyle="1">
    <w:name w:val="Nierozpoznana wzmianka1"/>
    <w:basedOn w:val="DefaultParagraphFont"/>
    <w:uiPriority w:val="99"/>
    <w:semiHidden/>
    <w:unhideWhenUsed/>
    <w:qFormat/>
    <w:rsid w:val="00b57c5f"/>
    <w:rPr>
      <w:color w:val="605E5C"/>
      <w:shd w:fill="E1DFDD" w:val="clear"/>
    </w:rPr>
  </w:style>
  <w:style w:type="character" w:styleId="FontStyle88" w:customStyle="1">
    <w:name w:val="Font Style88"/>
    <w:qFormat/>
    <w:rsid w:val="00f94f7c"/>
    <w:rPr>
      <w:rFonts w:ascii="Verdana" w:hAnsi="Verdana" w:cs="Verdana"/>
      <w:sz w:val="22"/>
      <w:szCs w:val="22"/>
    </w:rPr>
  </w:style>
  <w:style w:type="character" w:styleId="Strong">
    <w:name w:val="Strong"/>
    <w:basedOn w:val="DefaultParagraphFont"/>
    <w:qFormat/>
    <w:rsid w:val="00f7290a"/>
    <w:rPr>
      <w:b/>
      <w:bCs/>
    </w:rPr>
  </w:style>
  <w:style w:type="character" w:styleId="PageNumber">
    <w:name w:val="page number"/>
    <w:basedOn w:val="DefaultParagraphFont"/>
    <w:qFormat/>
    <w:rsid w:val="000e0cf2"/>
    <w:rPr/>
  </w:style>
  <w:style w:type="character" w:styleId="TekstpodstawowyZnak" w:customStyle="1">
    <w:name w:val="Tekst podstawowy Znak"/>
    <w:basedOn w:val="DefaultParagraphFont"/>
    <w:uiPriority w:val="99"/>
    <w:qFormat/>
    <w:rsid w:val="0084132f"/>
    <w:rPr>
      <w:rFonts w:ascii="Times New Roman" w:hAnsi="Times New Roman"/>
      <w:sz w:val="24"/>
    </w:rPr>
  </w:style>
  <w:style w:type="character" w:styleId="Tekstpodstawowywcity3Znak" w:customStyle="1">
    <w:name w:val="Tekst podstawowy wcięty 3 Znak"/>
    <w:basedOn w:val="DefaultParagraphFont"/>
    <w:link w:val="BodyTextIndent3"/>
    <w:uiPriority w:val="99"/>
    <w:semiHidden/>
    <w:qFormat/>
    <w:rsid w:val="0084132f"/>
    <w:rPr>
      <w:rFonts w:ascii="Times New Roman" w:hAnsi="Times New Roman"/>
      <w:sz w:val="16"/>
      <w:szCs w:val="16"/>
    </w:rPr>
  </w:style>
  <w:style w:type="character" w:styleId="Nagwek4Znak" w:customStyle="1">
    <w:name w:val="Nagłówek 4 Znak"/>
    <w:basedOn w:val="DefaultParagraphFont"/>
    <w:link w:val="Nagwek41"/>
    <w:uiPriority w:val="9"/>
    <w:semiHidden/>
    <w:qFormat/>
    <w:rsid w:val="006b34be"/>
    <w:rPr>
      <w:rFonts w:ascii="Calibri Light" w:hAnsi="Calibri Light" w:eastAsia="" w:cs="" w:asciiTheme="majorHAnsi" w:cstheme="majorBidi" w:eastAsiaTheme="majorEastAsia" w:hAnsiTheme="majorHAnsi"/>
      <w:b/>
      <w:bCs/>
      <w:i/>
      <w:iCs/>
      <w:color w:themeColor="accent1" w:val="5B9BD5"/>
      <w:sz w:val="24"/>
    </w:rPr>
  </w:style>
  <w:style w:type="character" w:styleId="czeindeksuuser" w:customStyle="1">
    <w:name w:val="Łącze indeksu (user)"/>
    <w:qFormat/>
    <w:rsid w:val="00ee0f13"/>
    <w:rPr/>
  </w:style>
  <w:style w:type="character" w:styleId="Znakiwypunktowaniauser" w:customStyle="1">
    <w:name w:val="Znaki wypunktowania (user)"/>
    <w:qFormat/>
    <w:rsid w:val="00ee0f13"/>
    <w:rPr>
      <w:rFonts w:ascii="OpenSymbol" w:hAnsi="OpenSymbol" w:eastAsia="OpenSymbol" w:cs="OpenSymbol"/>
    </w:rPr>
  </w:style>
  <w:style w:type="character" w:styleId="Znakinumeracjiuser" w:customStyle="1">
    <w:name w:val="Znaki numeracji (user)"/>
    <w:qFormat/>
    <w:rsid w:val="00ee0f13"/>
    <w:rPr/>
  </w:style>
  <w:style w:type="character" w:styleId="Hyperlink">
    <w:name w:val="Hyperlink"/>
    <w:basedOn w:val="DefaultParagraphFont"/>
    <w:uiPriority w:val="99"/>
    <w:unhideWhenUsed/>
    <w:rsid w:val="00e44264"/>
    <w:rPr>
      <w:color w:themeColor="hyperlink" w:val="0563C1"/>
      <w:u w:val="single"/>
    </w:rPr>
  </w:style>
  <w:style w:type="character" w:styleId="StopkaZnak1" w:customStyle="1">
    <w:name w:val="Stopka Znak1"/>
    <w:basedOn w:val="DefaultParagraphFont"/>
    <w:qFormat/>
    <w:rsid w:val="00e44264"/>
    <w:rPr>
      <w:rFonts w:ascii="Times New Roman" w:hAnsi="Times New Roman"/>
      <w:color w:val="00000A"/>
      <w:sz w:val="24"/>
    </w:rPr>
  </w:style>
  <w:style w:type="character" w:styleId="markedcontent" w:customStyle="1">
    <w:name w:val="markedcontent"/>
    <w:basedOn w:val="DefaultParagraphFont"/>
    <w:qFormat/>
    <w:rsid w:val="00af04a2"/>
    <w:rPr/>
  </w:style>
  <w:style w:type="character" w:styleId="Tekstpodstawowywcity2Znak" w:customStyle="1">
    <w:name w:val="Tekst podstawowy wcięty 2 Znak"/>
    <w:basedOn w:val="DefaultParagraphFont"/>
    <w:link w:val="BodyTextIndent2"/>
    <w:uiPriority w:val="99"/>
    <w:semiHidden/>
    <w:qFormat/>
    <w:rsid w:val="00af04a2"/>
    <w:rPr>
      <w:rFonts w:ascii="Times New Roman" w:hAnsi="Times New Roman"/>
      <w:color w:val="00000A"/>
      <w:sz w:val="24"/>
    </w:rPr>
  </w:style>
  <w:style w:type="character" w:styleId="czeindeksu">
    <w:name w:val="Łącze indeksu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"/>
    <w:uiPriority w:val="99"/>
    <w:unhideWhenUsed/>
    <w:rsid w:val="0084132f"/>
    <w:pPr/>
    <w:rPr/>
  </w:style>
  <w:style w:type="paragraph" w:styleId="List">
    <w:name w:val="List"/>
    <w:basedOn w:val="BodyText"/>
    <w:rsid w:val="00ee0f13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11" w:customStyle="1">
    <w:name w:val="Nagłówek 11"/>
    <w:basedOn w:val="Normal"/>
    <w:link w:val="Nagwek1Znak"/>
    <w:uiPriority w:val="9"/>
    <w:qFormat/>
    <w:rsid w:val="00ad27af"/>
    <w:pPr>
      <w:keepNext w:val="true"/>
      <w:keepLines/>
      <w:numPr>
        <w:ilvl w:val="0"/>
        <w:numId w:val="1"/>
      </w:numPr>
      <w:outlineLvl w:val="0"/>
    </w:pPr>
    <w:rPr>
      <w:rFonts w:eastAsia="" w:cs="" w:cstheme="majorBidi" w:eastAsiaTheme="majorEastAsia"/>
      <w:b/>
      <w:sz w:val="32"/>
      <w:szCs w:val="32"/>
    </w:rPr>
  </w:style>
  <w:style w:type="paragraph" w:styleId="Nagwek21" w:customStyle="1">
    <w:name w:val="Nagłówek 21"/>
    <w:basedOn w:val="Normal"/>
    <w:link w:val="Nagwek2Znak"/>
    <w:autoRedefine/>
    <w:uiPriority w:val="9"/>
    <w:unhideWhenUsed/>
    <w:qFormat/>
    <w:rsid w:val="00480134"/>
    <w:pPr>
      <w:keepNext w:val="true"/>
      <w:keepLines/>
      <w:numPr>
        <w:ilvl w:val="1"/>
        <w:numId w:val="3"/>
      </w:numPr>
      <w:tabs>
        <w:tab w:val="clear" w:pos="708"/>
        <w:tab w:val="left" w:pos="1983" w:leader="none"/>
        <w:tab w:val="left" w:pos="2150" w:leader="none"/>
        <w:tab w:val="left" w:pos="2267" w:leader="none"/>
      </w:tabs>
      <w:ind w:firstLine="425" w:left="993"/>
      <w:jc w:val="left"/>
    </w:pPr>
    <w:rPr>
      <w:rFonts w:eastAsia="" w:cs="" w:cstheme="majorBidi" w:eastAsiaTheme="majorEastAsia"/>
      <w:b/>
      <w:sz w:val="28"/>
      <w:szCs w:val="26"/>
    </w:rPr>
  </w:style>
  <w:style w:type="paragraph" w:styleId="Nagwek31" w:customStyle="1">
    <w:name w:val="Nagłówek 31"/>
    <w:basedOn w:val="Normal"/>
    <w:link w:val="Nagwek3Znak"/>
    <w:uiPriority w:val="9"/>
    <w:unhideWhenUsed/>
    <w:qFormat/>
    <w:rsid w:val="00922f7c"/>
    <w:pPr>
      <w:keepNext w:val="true"/>
      <w:keepLines/>
      <w:numPr>
        <w:ilvl w:val="2"/>
        <w:numId w:val="1"/>
      </w:numPr>
      <w:outlineLvl w:val="2"/>
    </w:pPr>
    <w:rPr>
      <w:rFonts w:eastAsia="" w:cs="" w:cstheme="majorBidi" w:eastAsiaTheme="majorEastAsia"/>
      <w:b/>
      <w:sz w:val="28"/>
      <w:szCs w:val="24"/>
    </w:rPr>
  </w:style>
  <w:style w:type="paragraph" w:styleId="Nagwek41" w:customStyle="1">
    <w:name w:val="Nagłówek 41"/>
    <w:basedOn w:val="Normal"/>
    <w:link w:val="Nagwek4Znak"/>
    <w:uiPriority w:val="9"/>
    <w:semiHidden/>
    <w:unhideWhenUsed/>
    <w:qFormat/>
    <w:rsid w:val="006b34be"/>
    <w:pPr>
      <w:keepNext w:val="true"/>
      <w:keepLines/>
      <w:spacing w:before="200" w:after="0"/>
      <w:outlineLvl w:val="3"/>
    </w:pPr>
    <w:rPr>
      <w:rFonts w:ascii="Calibri Light" w:hAnsi="Calibri Light" w:eastAsia="" w:cs="" w:asciiTheme="majorHAnsi" w:cstheme="majorBidi" w:eastAsiaTheme="majorEastAsia" w:hAnsiTheme="majorHAnsi"/>
      <w:b/>
      <w:bCs/>
      <w:i/>
      <w:iCs/>
      <w:color w:themeColor="accent1" w:val="5B9BD5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qFormat/>
    <w:rsid w:val="00ee0f13"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Legenda1" w:customStyle="1">
    <w:name w:val="Legenda1"/>
    <w:basedOn w:val="Normal"/>
    <w:qFormat/>
    <w:rsid w:val="00ee0f13"/>
    <w:pPr>
      <w:suppressLineNumbers/>
    </w:pPr>
    <w:rPr>
      <w:rFonts w:cs="Mangal"/>
      <w:i/>
      <w:iCs/>
      <w:szCs w:val="24"/>
    </w:rPr>
  </w:style>
  <w:style w:type="paragraph" w:styleId="Indeksuser" w:customStyle="1">
    <w:name w:val="Indeks (user)"/>
    <w:basedOn w:val="Normal"/>
    <w:qFormat/>
    <w:rsid w:val="00ee0f13"/>
    <w:pPr>
      <w:suppressLineNumbers/>
    </w:pPr>
    <w:rPr>
      <w:rFonts w:cs="Mangal"/>
    </w:rPr>
  </w:style>
  <w:style w:type="paragraph" w:styleId="Title">
    <w:name w:val="Title"/>
    <w:basedOn w:val="Normal"/>
    <w:link w:val="TytuZnak"/>
    <w:uiPriority w:val="10"/>
    <w:qFormat/>
    <w:rsid w:val="00b37828"/>
    <w:pPr>
      <w:spacing w:lineRule="auto" w:line="240" w:before="0" w:after="0"/>
      <w:contextualSpacing/>
    </w:pPr>
    <w:rPr>
      <w:rFonts w:eastAsia="" w:cs="" w:cstheme="majorBidi" w:eastAsiaTheme="majorEastAsia"/>
      <w:spacing w:val="-10"/>
      <w:szCs w:val="56"/>
    </w:rPr>
  </w:style>
  <w:style w:type="paragraph" w:styleId="NoSpacing">
    <w:name w:val="No Spacing"/>
    <w:qFormat/>
    <w:rsid w:val="0015180a"/>
    <w:pPr>
      <w:widowControl/>
      <w:bidi w:val="0"/>
      <w:spacing w:before="0" w:after="0"/>
      <w:jc w:val="left"/>
    </w:pPr>
    <w:rPr>
      <w:rFonts w:ascii="Times New Roman" w:hAnsi="Times New Roman" w:eastAsia="Calibri" w:cs=""/>
      <w:color w:val="00000A"/>
      <w:kern w:val="0"/>
      <w:sz w:val="24"/>
      <w:szCs w:val="22"/>
      <w:lang w:val="pl-PL" w:eastAsia="en-US" w:bidi="ar-SA"/>
    </w:rPr>
  </w:style>
  <w:style w:type="paragraph" w:styleId="Nagwek1" w:customStyle="1">
    <w:name w:val="Nagłówek1"/>
    <w:basedOn w:val="Normal"/>
    <w:unhideWhenUsed/>
    <w:qFormat/>
    <w:rsid w:val="00b37828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1" w:customStyle="1">
    <w:name w:val="Stopka1"/>
    <w:basedOn w:val="Normal"/>
    <w:link w:val="StopkaZnak"/>
    <w:unhideWhenUsed/>
    <w:qFormat/>
    <w:rsid w:val="00b37828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IndexHeading">
    <w:name w:val="index heading"/>
    <w:basedOn w:val="Nagwek"/>
    <w:pPr/>
    <w:rPr/>
  </w:style>
  <w:style w:type="paragraph" w:styleId="TOCHeading">
    <w:name w:val="TOC Heading"/>
    <w:basedOn w:val="Nagwek11"/>
    <w:uiPriority w:val="39"/>
    <w:unhideWhenUsed/>
    <w:qFormat/>
    <w:rsid w:val="006b6f1c"/>
    <w:pPr>
      <w:numPr>
        <w:ilvl w:val="0"/>
        <w:numId w:val="0"/>
      </w:numPr>
      <w:ind w:firstLine="709"/>
    </w:pPr>
    <w:rPr>
      <w:rFonts w:ascii="Calibri Light" w:hAnsi="Calibri Light" w:asciiTheme="majorHAnsi" w:hAnsiTheme="majorHAnsi"/>
      <w:color w:themeColor="accent1" w:themeShade="bf" w:val="2E74B5"/>
      <w:lang w:eastAsia="pl-PL"/>
    </w:rPr>
  </w:style>
  <w:style w:type="paragraph" w:styleId="Spistreci11" w:customStyle="1">
    <w:name w:val="Spis treści 11"/>
    <w:basedOn w:val="Normal"/>
    <w:autoRedefine/>
    <w:uiPriority w:val="39"/>
    <w:unhideWhenUsed/>
    <w:qFormat/>
    <w:rsid w:val="007a5d22"/>
    <w:pPr>
      <w:spacing w:before="120" w:after="100"/>
    </w:pPr>
    <w:rPr/>
  </w:style>
  <w:style w:type="paragraph" w:styleId="BodyText2">
    <w:name w:val="Body Text 2"/>
    <w:basedOn w:val="Normal"/>
    <w:link w:val="Tekstpodstawowy2Znak"/>
    <w:uiPriority w:val="99"/>
    <w:qFormat/>
    <w:rsid w:val="006322a9"/>
    <w:pPr>
      <w:spacing w:lineRule="auto" w:line="240" w:before="0" w:after="0"/>
      <w:ind w:hanging="0"/>
      <w:jc w:val="left"/>
    </w:pPr>
    <w:rPr>
      <w:rFonts w:cs="Times New Roman"/>
      <w:szCs w:val="24"/>
    </w:rPr>
  </w:style>
  <w:style w:type="paragraph" w:styleId="ListParagraph">
    <w:name w:val="List Paragraph"/>
    <w:basedOn w:val="Normal"/>
    <w:uiPriority w:val="34"/>
    <w:qFormat/>
    <w:rsid w:val="006322a9"/>
    <w:pPr>
      <w:spacing w:before="120" w:after="120"/>
      <w:ind w:left="720"/>
      <w:contextualSpacing/>
    </w:pPr>
    <w:rPr/>
  </w:style>
  <w:style w:type="paragraph" w:styleId="Default" w:customStyle="1">
    <w:name w:val="Default"/>
    <w:qFormat/>
    <w:rsid w:val="00b66d87"/>
    <w:pPr>
      <w:widowControl/>
      <w:bidi w:val="0"/>
      <w:spacing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pl-PL" w:eastAsia="en-US" w:bidi="ar-SA"/>
    </w:rPr>
  </w:style>
  <w:style w:type="paragraph" w:styleId="Tekstpodstawowywciety" w:customStyle="1">
    <w:name w:val="Tekst podstawowy wciety"/>
    <w:basedOn w:val="Default"/>
    <w:next w:val="Default"/>
    <w:uiPriority w:val="99"/>
    <w:qFormat/>
    <w:rsid w:val="00ac4c2a"/>
    <w:pPr/>
    <w:rPr>
      <w:color w:val="00000A"/>
    </w:rPr>
  </w:style>
  <w:style w:type="paragraph" w:styleId="Spistreci21" w:customStyle="1">
    <w:name w:val="Spis treści 21"/>
    <w:basedOn w:val="Normal"/>
    <w:autoRedefine/>
    <w:uiPriority w:val="39"/>
    <w:unhideWhenUsed/>
    <w:qFormat/>
    <w:rsid w:val="00582793"/>
    <w:pPr>
      <w:tabs>
        <w:tab w:val="clear" w:pos="708"/>
        <w:tab w:val="left" w:pos="880" w:leader="none"/>
        <w:tab w:val="right" w:pos="9062" w:leader="dot"/>
      </w:tabs>
      <w:spacing w:before="120" w:after="100"/>
      <w:ind w:left="240"/>
      <w:jc w:val="left"/>
    </w:pPr>
    <w:rPr/>
  </w:style>
  <w:style w:type="paragraph" w:styleId="Spistreci31" w:customStyle="1">
    <w:name w:val="Spis treści 31"/>
    <w:basedOn w:val="Normal"/>
    <w:autoRedefine/>
    <w:uiPriority w:val="39"/>
    <w:unhideWhenUsed/>
    <w:qFormat/>
    <w:rsid w:val="00457ca6"/>
    <w:pPr>
      <w:spacing w:before="120" w:after="100"/>
      <w:ind w:left="480"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6635e9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Teksttreci" w:customStyle="1">
    <w:name w:val="Tekst treści"/>
    <w:basedOn w:val="Normal"/>
    <w:qFormat/>
    <w:rsid w:val="00b60f79"/>
    <w:pPr>
      <w:shd w:val="clear" w:color="auto" w:fill="FFFFFF"/>
      <w:suppressAutoHyphens w:val="true"/>
      <w:spacing w:lineRule="exact" w:line="206" w:before="0" w:after="0"/>
      <w:ind w:hanging="440"/>
      <w:jc w:val="right"/>
    </w:pPr>
    <w:rPr>
      <w:rFonts w:ascii="Calibri" w:hAnsi="Calibri" w:eastAsia="Calibri" w:cs="Calibri"/>
      <w:sz w:val="18"/>
      <w:szCs w:val="18"/>
      <w:lang w:eastAsia="ar-SA"/>
    </w:rPr>
  </w:style>
  <w:style w:type="paragraph" w:styleId="Style24" w:customStyle="1">
    <w:name w:val="Style24"/>
    <w:basedOn w:val="Normal"/>
    <w:qFormat/>
    <w:rsid w:val="00f94f7c"/>
    <w:pPr>
      <w:widowControl w:val="false"/>
      <w:suppressAutoHyphens w:val="true"/>
      <w:spacing w:lineRule="exact" w:line="438" w:before="0" w:after="0"/>
      <w:ind w:firstLine="706"/>
    </w:pPr>
    <w:rPr>
      <w:rFonts w:ascii="Verdana" w:hAnsi="Verdana" w:eastAsia="Times New Roman" w:cs="Verdana"/>
      <w:szCs w:val="24"/>
      <w:lang w:eastAsia="ar-SA"/>
    </w:rPr>
  </w:style>
  <w:style w:type="paragraph" w:styleId="product" w:customStyle="1">
    <w:name w:val="product"/>
    <w:basedOn w:val="Normal"/>
    <w:qFormat/>
    <w:rsid w:val="00f7290a"/>
    <w:pPr>
      <w:spacing w:lineRule="auto" w:line="240" w:beforeAutospacing="1" w:afterAutospacing="1"/>
      <w:ind w:hanging="0"/>
      <w:jc w:val="left"/>
    </w:pPr>
    <w:rPr>
      <w:rFonts w:eastAsia="Times New Roman" w:cs="Times New Roman"/>
      <w:szCs w:val="24"/>
      <w:lang w:eastAsia="pl-PL"/>
    </w:rPr>
  </w:style>
  <w:style w:type="paragraph" w:styleId="BodyTextIndent3">
    <w:name w:val="Body Text Indent 3"/>
    <w:basedOn w:val="Normal"/>
    <w:link w:val="Tekstpodstawowywcity3Znak"/>
    <w:uiPriority w:val="99"/>
    <w:semiHidden/>
    <w:unhideWhenUsed/>
    <w:qFormat/>
    <w:rsid w:val="0084132f"/>
    <w:pPr>
      <w:ind w:left="283"/>
    </w:pPr>
    <w:rPr>
      <w:sz w:val="16"/>
      <w:szCs w:val="16"/>
    </w:rPr>
  </w:style>
  <w:style w:type="paragraph" w:styleId="Wcicienormalne1" w:customStyle="1">
    <w:name w:val="Wcięcie normalne1"/>
    <w:basedOn w:val="Normal"/>
    <w:qFormat/>
    <w:rsid w:val="006b34be"/>
    <w:pPr>
      <w:suppressAutoHyphens w:val="true"/>
      <w:spacing w:lineRule="auto" w:line="240" w:before="0" w:after="0"/>
      <w:ind w:hanging="0" w:left="708"/>
      <w:jc w:val="left"/>
    </w:pPr>
    <w:rPr>
      <w:rFonts w:eastAsia="Times New Roman" w:cs="Times New Roman"/>
      <w:szCs w:val="20"/>
      <w:lang w:eastAsia="zh-CN"/>
    </w:rPr>
  </w:style>
  <w:style w:type="paragraph" w:styleId="Subtitle">
    <w:name w:val="Subtitle"/>
    <w:basedOn w:val="Header"/>
    <w:qFormat/>
    <w:rsid w:val="00ee0f13"/>
    <w:pPr/>
    <w:rPr/>
  </w:style>
  <w:style w:type="paragraph" w:styleId="TOC1">
    <w:name w:val="toc 1"/>
    <w:basedOn w:val="Normal"/>
    <w:next w:val="Normal"/>
    <w:autoRedefine/>
    <w:uiPriority w:val="39"/>
    <w:unhideWhenUsed/>
    <w:rsid w:val="00e44264"/>
    <w:pPr>
      <w:spacing w:before="120" w:after="100"/>
    </w:pPr>
    <w:rPr/>
  </w:style>
  <w:style w:type="paragraph" w:styleId="TOC3">
    <w:name w:val="toc 3"/>
    <w:basedOn w:val="Normal"/>
    <w:next w:val="Normal"/>
    <w:autoRedefine/>
    <w:uiPriority w:val="39"/>
    <w:unhideWhenUsed/>
    <w:rsid w:val="00e44264"/>
    <w:pPr>
      <w:spacing w:before="120" w:after="100"/>
      <w:ind w:left="480"/>
    </w:pPr>
    <w:rPr/>
  </w:style>
  <w:style w:type="paragraph" w:styleId="Footer">
    <w:name w:val="footer"/>
    <w:basedOn w:val="Normal"/>
    <w:link w:val="StopkaZnak1"/>
    <w:unhideWhenUsed/>
    <w:rsid w:val="00e44264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BodyTextIndent2">
    <w:name w:val="Body Text Indent 2"/>
    <w:basedOn w:val="Normal"/>
    <w:link w:val="Tekstpodstawowywcity2Znak"/>
    <w:uiPriority w:val="99"/>
    <w:semiHidden/>
    <w:unhideWhenUsed/>
    <w:qFormat/>
    <w:rsid w:val="00af04a2"/>
    <w:pPr>
      <w:spacing w:lineRule="auto" w:line="480"/>
      <w:ind w:left="283"/>
    </w:pPr>
    <w:rPr/>
  </w:style>
  <w:style w:type="numbering" w:styleId="Bezlisty" w:default="1">
    <w:name w:val="Bez listy"/>
    <w:uiPriority w:val="99"/>
    <w:semiHidden/>
    <w:unhideWhenUsed/>
    <w:qFormat/>
  </w:style>
  <w:style w:type="numbering" w:styleId="WW8Num14" w:customStyle="1">
    <w:name w:val="WW8Num14"/>
    <w:qFormat/>
    <w:rsid w:val="00ee0f13"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b3782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hyperlink" Target="http://www.emiter.com/" TargetMode="External"/><Relationship Id="rId10" Type="http://schemas.openxmlformats.org/officeDocument/2006/relationships/hyperlink" Target="mailto:kontenerowe@emiter.com" TargetMode="External"/><Relationship Id="rId11" Type="http://schemas.openxmlformats.org/officeDocument/2006/relationships/numbering" Target="numbering.xml"/><Relationship Id="rId12" Type="http://schemas.openxmlformats.org/officeDocument/2006/relationships/fontTable" Target="fontTable.xml"/><Relationship Id="rId13" Type="http://schemas.openxmlformats.org/officeDocument/2006/relationships/settings" Target="settings.xml"/><Relationship Id="rId14" Type="http://schemas.openxmlformats.org/officeDocument/2006/relationships/theme" Target="theme/theme1.xml"/><Relationship Id="rId15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hyperlink" Target="https://www.emiter.com/" TargetMode="External"/><Relationship Id="rId2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7E4FFA-12C4-4FEF-85B9-7E4E1A887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Application>LibreOffice/25.2.7.2$Windows_X86_64 LibreOffice_project/5cbfd1ab6520636bb5f7b99185aa69bd7456825d</Application>
  <AppVersion>15.0000</AppVersion>
  <DocSecurity>0</DocSecurity>
  <Pages>15</Pages>
  <Words>2882</Words>
  <Characters>18531</Characters>
  <CharactersWithSpaces>21338</CharactersWithSpaces>
  <Paragraphs>264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2023-11-21T10:57:00Z</dcterms:created>
  <dc:creator>Marek</dc:creator>
  <dc:description/>
  <dc:language>pl-PL</dc:language>
  <cp:lastModifiedBy/>
  <cp:lastPrinted>2022-05-10T06:53:00Z</cp:lastPrinted>
  <dcterms:modified xsi:type="dcterms:W3CDTF">2026-02-11T13:37:51Z</dcterms:modified>
  <cp:revision>57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